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38" w:rsidRDefault="00B43D38">
      <w:pPr>
        <w:pStyle w:val="Heading1"/>
        <w:rPr>
          <w:rFonts w:cs="Times New Roman"/>
          <w:color w:val="000000"/>
        </w:rPr>
      </w:pPr>
      <w:r>
        <w:rPr>
          <w:rFonts w:cs="Times New Roman"/>
          <w:color w:val="000000"/>
        </w:rPr>
        <w:t>A Mohácsi Hőszolgáltató Kft. ügyvezetőjétől</w:t>
      </w:r>
    </w:p>
    <w:p w:rsidR="00B43D38" w:rsidRDefault="00B43D38">
      <w:pPr>
        <w:widowControl w:val="0"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B43D38" w:rsidRDefault="00B43D38">
      <w:pPr>
        <w:pStyle w:val="Heading2"/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Előterjesztés</w:t>
      </w:r>
    </w:p>
    <w:p w:rsidR="00B43D38" w:rsidRDefault="00B43D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</w:p>
    <w:p w:rsidR="00B43D38" w:rsidRDefault="00B43D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20" o:spid="_x0000_s1038" type="#_x0000_t75" alt="logo2" style="position:absolute;left:0;text-align:left;margin-left:12.4pt;margin-top:91.9pt;width:453.75pt;height:438pt;z-index:-251658240;visibility:visible;mso-position-horizontal-relative:margin;mso-position-vertical-relative:margin">
            <v:imagedata r:id="rId7" o:title="" gain="19661f" blacklevel="22938f"/>
            <w10:wrap anchorx="margin" anchory="margin"/>
          </v:shape>
        </w:pict>
      </w:r>
      <w:r>
        <w:rPr>
          <w:rFonts w:cs="Times New Roman"/>
          <w:b/>
          <w:bCs/>
          <w:color w:val="000000"/>
        </w:rPr>
        <w:t>a Képviselő-testület részére</w:t>
      </w:r>
    </w:p>
    <w:p w:rsidR="00B43D38" w:rsidRDefault="00B43D3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</w:p>
    <w:p w:rsidR="00B43D38" w:rsidRDefault="00B43D38">
      <w:pPr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Mohács Város távhő rendszerének energetikai korszerűsítése</w:t>
      </w:r>
    </w:p>
    <w:p w:rsidR="00B43D38" w:rsidRDefault="00B43D38">
      <w:pPr>
        <w:jc w:val="center"/>
        <w:rPr>
          <w:rFonts w:cs="Times New Roman"/>
          <w:b/>
          <w:bCs/>
          <w:color w:val="000000"/>
        </w:rPr>
      </w:pP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2009. december 20-án Társaságunk benyújtotta az Új Magyarország Fejlesztési Terv Környezet és Energia Operatív Program támogatási rendszeréhez </w:t>
      </w:r>
      <w:r>
        <w:rPr>
          <w:rFonts w:cs="Times New Roman"/>
          <w:b/>
          <w:bCs/>
          <w:i/>
          <w:iCs/>
          <w:color w:val="000000"/>
        </w:rPr>
        <w:t>Mohács Város távhő rendszerének energetikai korszerűsítése</w:t>
      </w:r>
      <w:r>
        <w:rPr>
          <w:rFonts w:cs="Times New Roman"/>
          <w:color w:val="000000"/>
        </w:rPr>
        <w:t xml:space="preserve"> című pályázatot. 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Az Energia Központ Nonprofit Kft a KEOP-5.4.0/09-2010-0013 azonosító jellel regisztrálta 2009. december 22.-én. Pályázatunkat 2011. február 21. nappal befogadták és értékelésre bocsátották .</w:t>
      </w:r>
    </w:p>
    <w:p w:rsidR="00B43D38" w:rsidRDefault="00B43D38">
      <w:pPr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2011.szeptember 09.-én a EK Kft. –Energia Központ Nonprofit Kft. vezetője értesítette vállalatunkat , hogy pályázatunk – melynek beruházási költsége : 612.592.000 Ft – 50%-os , azaz 306.296.000 Ft vissza-nemtérítendő támogatást nyert.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pStyle w:val="Heading1"/>
        <w:keepNext/>
        <w:widowControl w:val="0"/>
        <w:tabs>
          <w:tab w:val="num" w:pos="720"/>
        </w:tabs>
        <w:spacing w:before="0" w:beforeAutospacing="0" w:after="0" w:afterAutospacing="0"/>
        <w:ind w:left="340" w:hanging="34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ELŐZMÉNYEK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tabs>
          <w:tab w:val="left" w:pos="1080"/>
          <w:tab w:val="left" w:pos="2280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 mohácsi távhőrendszer hőforrása 3 db 4,5 MW teljesítményű, földgáztüzelésű LÁNG HLG 7/12 típusú gőzkazánból és két gázmotorból áll. </w:t>
      </w:r>
    </w:p>
    <w:p w:rsidR="00B43D38" w:rsidRDefault="00B43D38">
      <w:pPr>
        <w:tabs>
          <w:tab w:val="left" w:pos="1080"/>
          <w:tab w:val="left" w:pos="2280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távhőrendszerre 32 db hőközpont csatlakozik, melyek egy része több épületet ellátó, úgynevezett szolgáltatói hőközpont.</w:t>
      </w:r>
    </w:p>
    <w:p w:rsidR="00B43D38" w:rsidRDefault="00B43D38">
      <w:pPr>
        <w:tabs>
          <w:tab w:val="left" w:pos="1080"/>
          <w:tab w:val="left" w:pos="2280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Az eltelt évtizedekben említésre méltó felújítás nem történt, a távhőellátó rendszer jelenleg nem felel meg az aktuális takarékossági követelményeknek: a teljes távhőellátási rendszerre jellemző, leromlott állagú négyvezetékes (fűtés előre-vissza, használati melegvíz és cirkuláció) szekunder rendszer hőveszteségei, valamint az egyéb megtakarítható ráfordítások egy korszerűnek tekinthető rendszerhez viszonyítva jelentős többlet költség felmerülést okoznak. A távhőtörvény szerint szükséges mérés és szabályozás sem megvalósítható.</w:t>
      </w:r>
    </w:p>
    <w:p w:rsidR="00B43D38" w:rsidRDefault="00B43D38">
      <w:pPr>
        <w:tabs>
          <w:tab w:val="left" w:pos="1080"/>
          <w:tab w:val="left" w:pos="2280"/>
        </w:tabs>
        <w:jc w:val="both"/>
        <w:rPr>
          <w:rFonts w:cs="Times New Roman"/>
          <w:color w:val="000000"/>
        </w:rPr>
      </w:pPr>
    </w:p>
    <w:p w:rsidR="00B43D38" w:rsidRDefault="00B43D38">
      <w:pPr>
        <w:pStyle w:val="Heading1"/>
        <w:keepNext/>
        <w:widowControl w:val="0"/>
        <w:tabs>
          <w:tab w:val="num" w:pos="720"/>
        </w:tabs>
        <w:spacing w:before="0" w:beforeAutospacing="0" w:after="0" w:afterAutospacing="0"/>
        <w:ind w:left="340" w:hanging="340"/>
        <w:jc w:val="both"/>
        <w:rPr>
          <w:rFonts w:cs="Times New Roman"/>
          <w:color w:val="000000"/>
        </w:rPr>
      </w:pPr>
      <w:r>
        <w:rPr>
          <w:rFonts w:cs="Times New Roman"/>
          <w:caps/>
          <w:color w:val="000000"/>
        </w:rPr>
        <w:t>A PROJEKT CÉLJA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pStyle w:val="Stlus1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 projekt alapvető célja, hogy Mohács távhőfogyasztóinak perspektívikusan olcsóbb és komfortosabb legyen a távhőfelhasználás. Ez a meglévő távhőellátó rendszer meglévő veszteségeinek jelentős arányú csökkentésével, valamint a korszerűsítés által elért egyéb közvetlen költségcsökkentésekkel (pl. villamosenergia költség, karbantartási költség terén, stb.) teljesül oly módon, hogy a teljes rendszer és az egyes épületek szabályozhatóságának javulásával a távhőszolgáltatás minősége, a felhasználók komfort kiszolgálása is javul. </w:t>
      </w:r>
    </w:p>
    <w:p w:rsidR="00B43D38" w:rsidRDefault="00B43D38">
      <w:pPr>
        <w:pStyle w:val="Stlus1"/>
        <w:rPr>
          <w:rFonts w:cs="Times New Roman"/>
          <w:color w:val="000000"/>
        </w:rPr>
      </w:pPr>
    </w:p>
    <w:p w:rsidR="00B43D38" w:rsidRDefault="00B43D38">
      <w:pPr>
        <w:pStyle w:val="Heading1"/>
        <w:rPr>
          <w:rFonts w:cs="Times New Roman"/>
          <w:color w:val="000000"/>
        </w:rPr>
      </w:pPr>
      <w:r>
        <w:rPr>
          <w:rFonts w:cs="Times New Roman"/>
          <w:color w:val="000000"/>
        </w:rPr>
        <w:t>MŰSZAKI TARTALOM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projekt Mohács távhőellátó korszerűsítésére irányul: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numPr>
          <w:ilvl w:val="0"/>
          <w:numId w:val="4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rendszerhez csatlakozó szolgáltatói hőközpont szétválasztása, fogyasztói hőközpontok korszerűsítése,</w:t>
      </w:r>
    </w:p>
    <w:p w:rsidR="00B43D38" w:rsidRDefault="00B43D38">
      <w:pPr>
        <w:numPr>
          <w:ilvl w:val="0"/>
          <w:numId w:val="4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legrosszabb állapotú primer vezetékszakaszok cseréje,</w:t>
      </w:r>
    </w:p>
    <w:p w:rsidR="00B43D38" w:rsidRDefault="00B43D38">
      <w:pPr>
        <w:numPr>
          <w:ilvl w:val="0"/>
          <w:numId w:val="4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hőforrás gőzkazánjainak korszerűsítése.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meglévő szolgáltatói hőközpontok és szekunder távvezetékek megszüntetésre kerülnek.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Az ezekből ellátott épületekbe új, az ellátandó épület hőigényeire méretezett, korszerű,  lemezes hőcserélőket tartalmazó, kis helyigényű kompakt kivitelű blokk-hőközpontok kerülnek beépítésre, megfelelően méretezett használati melegvíz (HMV) tárolókkal, szivattyúkkal és egyéb szerelvényekkel.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Az új fogyasztói hőközpontok új vezeték szakaszok kiépítésével csatlakoznak a meglévő primer távhőrendszerhez. Az épületeken kívül elhelyezett új vezetékszakaszok korszerű kis hőveszteségű előreszigetelt, közvetlenül földbe fektethető rendszerrel készülnek, részben a korábbi szekunder vezetékek nyomvonalán, részben a cserére kerülő (elhasználódott vagy nem megfelelő keresztmetszetű) primer vezeték szakaszok nyomvonalán, vagy új nyomvonalon. 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Ezekkel a hőközponti és csővezeték építési munkákkal a távhőellátás alapvetően átalakul: a régi, elavult, nagy hőveszteségű szolgáltatói hőközpontok és a más épületekhez ezekből vezető szekunder távvezeték szakaszok megszűnnek. 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meglévő, elavult rossz állapotú fogyasztói hőközpontok korszerűsítése megtörténik.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Az új és a meglévő fogyasztói hőközpontok üzemirányítására és ellenőrzésére, a mért adatok online leolvasására, illetve feldolgozására mikrohullámú jelátvitellel egy korszerű távfelügyeleti rendszer épül ki.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 távfelügyeleti rendszer alkalmas lesz a teljes távhőrendszer felügyeletére, valamint hőközpontok külön-külön történő felügyeletére, ellenőrzésére és távvezérlésére, a hőközpontokba való illetéktelen behatolás jelzésére. 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primer vezetékrendszer számos helyén a csővezetékek igen rossz állapotúak, korrodáltak, számos üzemzavar forrásai, ezért ezek cseréje mindenképpen szükséges.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hőforrásban található gőzkazánok elavult technológiát képviselnek, rossz hatásfokkal üzemelnek. Gazdaságosabb üzem kialakításához szükséges a kazánok átalakítása forróvíz üzeműre, valamint füstgáz hőhasznosító beépítése.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pStyle w:val="Heading1"/>
        <w:keepNext/>
        <w:widowControl w:val="0"/>
        <w:tabs>
          <w:tab w:val="num" w:pos="720"/>
        </w:tabs>
        <w:spacing w:before="0" w:beforeAutospacing="0" w:after="0" w:afterAutospacing="0"/>
        <w:ind w:left="340" w:hanging="34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VÁRHATÓ EREDMÉNYEK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tervezett projekt többféle megtakarítást eredményez: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hőveszteség csökkenés a kiterjedt, nagyrészt négyvezetékes (fűtés és HVM, cirkulációval) leromlott állapotú szekunder vezetékhálózat helyett az új kétvezetékes, kis hőveszteségű előreszigetelt primer vezetékek alkalmazása miatt,</w:t>
      </w: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hőveszteség csökkenése a régi, elavult, nagyméretű hőközpontok helyett korszerű, kompakt, kis hőveszteségű hőközpontok működtetése miatt,</w:t>
      </w: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túlfűtés csökkenés az egyes épületek külön-külön történő szabályozhatósága és a teljes külső köri távhőrendszer távfelügyelettel történő szabályozhatósága miatt,</w:t>
      </w: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villamosenergia felhasználás csökkenés a régi és az új hőközpontok villamosenergia igényének különbözősége miatt,</w:t>
      </w: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tüzelőhőfelhasználás csökkenése a kazánok jobb hatásfoka miatt.</w:t>
      </w: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karbantartási, kezelési ráfordítás csökkenés az új, korszerű berendezések alkalmazása, valamint a távfelügyeleti rendszer által biztosított folyamatos felügyelet és távirányítási lehetőségek bevezetése miatt.</w:t>
      </w:r>
    </w:p>
    <w:p w:rsidR="00B43D38" w:rsidRDefault="00B43D38">
      <w:pPr>
        <w:numPr>
          <w:ilvl w:val="0"/>
          <w:numId w:val="6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Az új vezetékek és hőközpontok karbantartási költsége lényegesen alacsonyabb.</w:t>
      </w:r>
    </w:p>
    <w:p w:rsidR="00B43D38" w:rsidRDefault="00B43D38">
      <w:pPr>
        <w:jc w:val="both"/>
        <w:rPr>
          <w:rFonts w:cs="Times New Roman"/>
          <w:color w:val="000000"/>
        </w:rPr>
      </w:pPr>
    </w:p>
    <w:p w:rsidR="00B43D38" w:rsidRDefault="00B43D38">
      <w:pPr>
        <w:pStyle w:val="Heading1"/>
        <w:keepNext/>
        <w:widowControl w:val="0"/>
        <w:tabs>
          <w:tab w:val="num" w:pos="720"/>
        </w:tabs>
        <w:spacing w:before="0" w:beforeAutospacing="0" w:after="0" w:afterAutospacing="0"/>
        <w:ind w:left="340" w:hanging="340"/>
        <w:jc w:val="both"/>
        <w:rPr>
          <w:rFonts w:eastAsia="Verdana,Bold" w:cs="Times New Roman"/>
          <w:color w:val="000000"/>
        </w:rPr>
      </w:pPr>
      <w:r>
        <w:rPr>
          <w:rFonts w:eastAsia="Verdana,Bold" w:cs="Times New Roman"/>
          <w:color w:val="000000"/>
        </w:rPr>
        <w:t>MEGVALÓSÍTÁS</w:t>
      </w:r>
    </w:p>
    <w:p w:rsidR="00B43D38" w:rsidRDefault="00B43D38">
      <w:pPr>
        <w:keepNext/>
        <w:jc w:val="both"/>
        <w:rPr>
          <w:rFonts w:eastAsia="Verdana,Bold" w:cs="Times New Roman"/>
          <w:color w:val="000000"/>
        </w:rPr>
      </w:pPr>
    </w:p>
    <w:p w:rsidR="00B43D38" w:rsidRDefault="00B43D38">
      <w:pPr>
        <w:keepNext/>
        <w:jc w:val="both"/>
        <w:rPr>
          <w:rFonts w:eastAsia="Verdana,Bold" w:cs="Times New Roman"/>
          <w:color w:val="000000"/>
        </w:rPr>
      </w:pPr>
      <w:r>
        <w:rPr>
          <w:rFonts w:eastAsia="Verdana,Bold" w:cs="Times New Roman"/>
          <w:color w:val="000000"/>
        </w:rPr>
        <w:t>A kivitelezést értelemszerűen a fűtési idényen kívül kell lefolytatni. Várhatóan 2012. áprilisba kezdenénk, és októberben befejeznénk. A kivitelezést a kiválasztott közbeszerzési eljárástól függően egy vagy több közbeszerzési pályázat nyertes kivitelezője végzi. Több különböző kivitelező esetén kiemelt figyelmet kell fordítani a különböző kivitelezők munkájának összehangolására mind az időbeni, mind a műszaki megfelelőségi, felelősségi kapcsolódások tekintetében.</w:t>
      </w:r>
    </w:p>
    <w:p w:rsidR="00B43D38" w:rsidRDefault="00B43D38">
      <w:pPr>
        <w:jc w:val="both"/>
        <w:rPr>
          <w:rFonts w:eastAsia="Verdana,Bold" w:cs="Times New Roman"/>
          <w:color w:val="000000"/>
        </w:rPr>
      </w:pPr>
      <w:r>
        <w:rPr>
          <w:rFonts w:eastAsia="Verdana,Bold" w:cs="Times New Roman"/>
          <w:color w:val="000000"/>
        </w:rPr>
        <w:t>A teljes projekt kivitelezése a területi kiterjedtség, valamint a távhőellátó hálózat különböző részeinek megbontása és a különböző kiegészítő vezetékszakaszok beépítése miatt előre jól átgondolt munkaszervezést, munkatervet igényel. Elsődleges szempont kell legyen a nyári HMV szolgáltatások szüneteltetésének minimalizálása. (A projekt megvalósítása az érintett épületekben mindenképpen néhány órás – néhány napos HMV-ellátási kieséssel jár.).</w:t>
      </w:r>
    </w:p>
    <w:p w:rsidR="00B43D38" w:rsidRDefault="00B43D38">
      <w:pPr>
        <w:jc w:val="both"/>
        <w:rPr>
          <w:rFonts w:eastAsia="Verdana,Bold" w:cs="Times New Roman"/>
          <w:color w:val="000000"/>
        </w:rPr>
      </w:pPr>
    </w:p>
    <w:p w:rsidR="00B43D38" w:rsidRDefault="00B43D38">
      <w:pPr>
        <w:jc w:val="both"/>
        <w:rPr>
          <w:rFonts w:eastAsia="Verdana,Bold" w:cs="Times New Roman"/>
          <w:color w:val="000000"/>
        </w:rPr>
      </w:pPr>
    </w:p>
    <w:p w:rsidR="00B43D38" w:rsidRDefault="00B43D38">
      <w:pPr>
        <w:pStyle w:val="Heading1"/>
        <w:keepNext/>
        <w:widowControl w:val="0"/>
        <w:tabs>
          <w:tab w:val="num" w:pos="720"/>
        </w:tabs>
        <w:spacing w:before="0" w:beforeAutospacing="0" w:after="0" w:afterAutospacing="0"/>
        <w:ind w:left="340" w:hanging="340"/>
        <w:jc w:val="both"/>
        <w:rPr>
          <w:rFonts w:eastAsia="Verdana,Bold" w:cs="Times New Roman"/>
          <w:color w:val="000000"/>
        </w:rPr>
      </w:pPr>
      <w:r>
        <w:rPr>
          <w:rFonts w:eastAsia="Verdana,Bold" w:cs="Times New Roman"/>
          <w:color w:val="000000"/>
        </w:rPr>
        <w:t>PÉNZÜGYI FELTÉTELEK</w:t>
      </w:r>
    </w:p>
    <w:p w:rsidR="00B43D38" w:rsidRDefault="00B43D38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:rsidR="00B43D38" w:rsidRDefault="00B43D38">
      <w:pPr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color w:val="000000"/>
        </w:rPr>
        <w:t>A beruházást Mohácsi Hőszolgáltató Kft. KEOP pályázati támogatással szeretné megvalósítani. A</w:t>
      </w:r>
      <w:r>
        <w:rPr>
          <w:rFonts w:cs="Times New Roman"/>
          <w:b/>
          <w:bCs/>
          <w:color w:val="000000"/>
        </w:rPr>
        <w:t xml:space="preserve"> beruházási költsége : 612.592.000 Ft – 50%-os , azaz 306.296.000 Ft vissza-nemtérítendő támogatást nyert.</w:t>
      </w:r>
    </w:p>
    <w:p w:rsidR="00B43D38" w:rsidRDefault="00B43D38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 KEOP-pályázati feltételeknek megfelelően tehát a pályázó a Mohácsi Hőszolgáltató Kft.-nek kell biztosítani a projekt költségek legkevesebb 50 %-át. Jelenleg a Kft 100 millió Ft lekötött tartalékkal , és 10 millió Ft fejlesztési tartalékkal rendelkezik.  Ha az Önkormányzat 200  millió Ft tulajdonosi tőkeemeléssel tud biztosítani MOHÁCS-HŐ Hőszolgáltató Kft. részére , akkor nem kell bankkölcsönt igénybe venni.  Amennyiben tulajdoni tőkeemelésre nem kerül sor, úgy hitelfelvételre lesz szükségünk melyhez az Önkormányzat hozzájárulása szükséges.</w:t>
      </w:r>
    </w:p>
    <w:p w:rsidR="00B43D38" w:rsidRDefault="00B43D38">
      <w:pPr>
        <w:spacing w:after="200" w:line="276" w:lineRule="auto"/>
        <w:rPr>
          <w:rFonts w:cs="Times New Roman"/>
        </w:rPr>
      </w:pPr>
    </w:p>
    <w:p w:rsidR="00B43D38" w:rsidRDefault="00B43D38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 a t á r o z a t i  j a v a s l a t</w:t>
      </w:r>
    </w:p>
    <w:p w:rsidR="00B43D38" w:rsidRDefault="00B43D38">
      <w:pPr>
        <w:rPr>
          <w:rFonts w:cs="Times New Roman"/>
          <w:b/>
          <w:bCs/>
        </w:rPr>
      </w:pPr>
    </w:p>
    <w:p w:rsidR="00B43D38" w:rsidRDefault="00B43D38">
      <w:pPr>
        <w:rPr>
          <w:rFonts w:cs="Times New Roman"/>
          <w:color w:val="000000"/>
        </w:rPr>
      </w:pPr>
      <w:r>
        <w:rPr>
          <w:rFonts w:cs="Times New Roman"/>
        </w:rPr>
        <w:t xml:space="preserve"> Mohács-Hő Hőszolgáltató Kft a KEOP-5.4.0/09-2010-0013. azonosító jelű</w:t>
      </w:r>
      <w:r>
        <w:rPr>
          <w:rFonts w:cs="Times New Roman"/>
          <w:b/>
          <w:bCs/>
          <w:color w:val="000000"/>
        </w:rPr>
        <w:t xml:space="preserve"> „</w:t>
      </w:r>
      <w:r>
        <w:rPr>
          <w:rFonts w:cs="Times New Roman"/>
          <w:color w:val="000000"/>
        </w:rPr>
        <w:t>Mohács Város távhő rendszerének energetikai korszerűsítése” című pályázat megvalósításához ( melynek beruházási költsége 612.592.000 Ft) 50%-os ,azaz 306.296.000 Ft vissza-nemtérítendő támogatást nyert. 50%-ot azaz 306.296.000 Ft  sajáterőt kell biztosítania. A Mohács-Hő Hőszolgáltató Kft. jelenleg 110 millió Ft szabad pénzeszközzel rendelkezik.</w:t>
      </w:r>
    </w:p>
    <w:p w:rsidR="00B43D38" w:rsidRDefault="00B43D38">
      <w:pPr>
        <w:rPr>
          <w:rFonts w:cs="Times New Roman"/>
          <w:color w:val="000000"/>
        </w:rPr>
      </w:pPr>
      <w:r>
        <w:rPr>
          <w:rFonts w:cs="Times New Roman"/>
        </w:rPr>
        <w:t xml:space="preserve">Mohács Város Önkormányzata hozzájárul, hogy </w:t>
      </w:r>
      <w:r>
        <w:rPr>
          <w:rFonts w:cs="Times New Roman"/>
          <w:color w:val="000000"/>
        </w:rPr>
        <w:t xml:space="preserve">Mohács-Hő Hőszolgáltató Kft 200 millió Ft bankkölcsönt a beruházás megvalósításához igénybe vegyen. </w:t>
      </w:r>
    </w:p>
    <w:p w:rsidR="00B43D38" w:rsidRDefault="00B43D38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Felhatalmazza Szekó Józsefné ügyvezetőt a bankkölcsön felvételével kapcsolatos intézkedések megtételére, valamint a beruházás támogatási szerződésének megkötésére, és a kivitelező(k) kiválasztását célzó közbeszerzési eljárás lefolytatására.</w:t>
      </w:r>
    </w:p>
    <w:p w:rsidR="00B43D38" w:rsidRDefault="00B43D38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B43D38" w:rsidRDefault="00B43D38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B43D38" w:rsidRDefault="00B43D38">
      <w:pPr>
        <w:rPr>
          <w:rFonts w:cs="Times New Roman"/>
        </w:rPr>
      </w:pPr>
      <w:r>
        <w:rPr>
          <w:rFonts w:cs="Times New Roman"/>
          <w:u w:val="single"/>
        </w:rPr>
        <w:t>Felelős</w:t>
      </w:r>
      <w:r>
        <w:rPr>
          <w:rFonts w:cs="Times New Roman"/>
        </w:rPr>
        <w:t>: Szekó Józsefné ügyvezető</w:t>
      </w:r>
    </w:p>
    <w:p w:rsidR="00B43D38" w:rsidRDefault="00B43D38">
      <w:pPr>
        <w:rPr>
          <w:rFonts w:cs="Times New Roman"/>
        </w:rPr>
      </w:pPr>
      <w:r>
        <w:rPr>
          <w:rFonts w:cs="Times New Roman"/>
          <w:u w:val="single"/>
        </w:rPr>
        <w:t>Határidő</w:t>
      </w:r>
      <w:r>
        <w:rPr>
          <w:rFonts w:cs="Times New Roman"/>
        </w:rPr>
        <w:t xml:space="preserve">: értelemszerű </w:t>
      </w:r>
    </w:p>
    <w:p w:rsidR="00B43D38" w:rsidRDefault="00B43D38">
      <w:pPr>
        <w:rPr>
          <w:rFonts w:cs="Times New Roman"/>
        </w:rPr>
      </w:pPr>
    </w:p>
    <w:p w:rsidR="00B43D38" w:rsidRDefault="00B43D38">
      <w:pPr>
        <w:rPr>
          <w:rFonts w:cs="Times New Roman"/>
        </w:rPr>
      </w:pPr>
    </w:p>
    <w:p w:rsidR="00B43D38" w:rsidRDefault="00B43D38">
      <w:pPr>
        <w:rPr>
          <w:rFonts w:cs="Times New Roman"/>
        </w:rPr>
      </w:pPr>
      <w:r>
        <w:rPr>
          <w:rFonts w:cs="Times New Roman"/>
        </w:rPr>
        <w:t>Mohács 2011-09-28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Szekó Józsefné</w:t>
      </w:r>
    </w:p>
    <w:p w:rsidR="00B43D38" w:rsidRDefault="00B43D38">
      <w:pPr>
        <w:widowControl w:val="0"/>
        <w:autoSpaceDE w:val="0"/>
        <w:autoSpaceDN w:val="0"/>
        <w:adjustRightInd w:val="0"/>
        <w:rPr>
          <w:rFonts w:cs="Times New Roman"/>
          <w:b/>
          <w:bCs/>
        </w:rPr>
      </w:pPr>
    </w:p>
    <w:p w:rsidR="00B43D38" w:rsidRDefault="00B43D38">
      <w:pPr>
        <w:jc w:val="center"/>
        <w:rPr>
          <w:rFonts w:cs="Times New Roman"/>
          <w:color w:val="000000"/>
        </w:rPr>
      </w:pPr>
    </w:p>
    <w:p w:rsidR="00B43D38" w:rsidRDefault="00B43D38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sectPr w:rsidR="00B43D38" w:rsidSect="00B43D38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D38" w:rsidRDefault="00B43D3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43D38" w:rsidRDefault="00B43D3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imSun">
    <w:altName w:val="ËÎĚĺ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D38" w:rsidRDefault="00B43D38">
    <w:pPr>
      <w:pStyle w:val="Footer"/>
      <w:tabs>
        <w:tab w:val="clear" w:pos="4536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noProof/>
        <w:lang w:eastAsia="hu-HU"/>
      </w:rPr>
      <w:pict>
        <v:group id="_x0000_s2053" style="position:absolute;margin-left:0;margin-top:0;width:593.7pt;height:63.75pt;flip:y;z-index:251656192;mso-position-horizontal:center;mso-position-horizontal-relative:page;mso-position-vertical:bottom;mso-position-vertical-relative:page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9;top:1431;width:15822;height:0;mso-position-horizontal:center;mso-position-horizontal-relative:page;mso-position-vertical:bottom;mso-position-vertical-relative:top-margin-area" o:connectortype="straight" strokecolor="#31849b"/>
          <v:rect id="_x0000_s2055" style="position:absolute;left:8;top:9;width:4031;height:1439" filled="f" stroked="f"/>
          <w10:wrap anchorx="page" anchory="page"/>
        </v:group>
      </w:pict>
    </w:r>
    <w:r>
      <w:rPr>
        <w:noProof/>
        <w:lang w:eastAsia="hu-HU"/>
      </w:rPr>
      <w:pict>
        <v:rect id="_x0000_s2056" style="position:absolute;margin-left:557.35pt;margin-top:781.65pt;width:7.15pt;height:57.9pt;z-index:251655168;mso-position-horizontal-relative:page;mso-position-vertical-relative:page" fillcolor="#f79646" strokecolor="#f2f2f2" strokeweight="3pt">
          <v:shadow on="t" type="perspective" color="#974706" opacity=".5" offset="1pt" offset2="-1pt"/>
          <w10:wrap anchorx="page" anchory="page"/>
        </v:rect>
      </w:pict>
    </w:r>
    <w:r>
      <w:rPr>
        <w:sz w:val="16"/>
        <w:szCs w:val="16"/>
      </w:rPr>
      <w:t>. oldal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D38" w:rsidRDefault="00B43D3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43D38" w:rsidRDefault="00B43D3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D38" w:rsidRDefault="00B43D38">
    <w:pPr>
      <w:pStyle w:val="Header"/>
      <w:rPr>
        <w:sz w:val="20"/>
        <w:szCs w:val="20"/>
      </w:rPr>
    </w:pPr>
    <w:r>
      <w:rPr>
        <w:noProof/>
      </w:rPr>
      <w:pict>
        <v:rect id="_x0000_s2049" style="position:absolute;margin-left:558.85pt;margin-top:1.5pt;width:7.15pt;height:58.75pt;z-index:251657216;mso-position-horizontal-relative:page;mso-position-vertical-relative:page" fillcolor="#f79646" strokecolor="#f2f2f2" strokeweight="3pt">
          <v:shadow on="t" type="perspective" color="#974706" opacity=".5" offset="1pt" offset2="-1pt"/>
          <w10:wrap anchorx="page" anchory="page"/>
        </v:rect>
      </w:pict>
    </w:r>
    <w:r>
      <w:rPr>
        <w:noProof/>
      </w:rPr>
      <w:pict>
        <v:group id="_x0000_s2050" style="position:absolute;margin-left:0;margin-top:0;width:593.7pt;height:63.75pt;z-index:251658240;mso-position-horizontal:center;mso-position-horizontal-relative:page;mso-position-vertical:top;mso-position-vertical-relative:page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left:9;top:1431;width:15822;height:0;mso-position-horizontal:center;mso-position-horizontal-relative:page;mso-position-vertical:bottom;mso-position-vertical-relative:top-margin-area" o:connectortype="straight" strokecolor="#31849b"/>
          <v:rect id="_x0000_s2052" style="position:absolute;left:8;top:9;width:4031;height:1439" filled="f" stroked="f"/>
          <w10:wrap anchorx="page" anchory="page"/>
        </v:group>
      </w:pict>
    </w:r>
    <w:r>
      <w:rPr>
        <w:sz w:val="20"/>
        <w:szCs w:val="20"/>
      </w:rPr>
      <w:t>Mohács-Hő Hőszolgáltató Kft</w:t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B43D38" w:rsidRDefault="00B43D38">
    <w:pPr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D38" w:rsidRDefault="00B43D38">
    <w:pPr>
      <w:pStyle w:val="Header"/>
      <w:rPr>
        <w:sz w:val="20"/>
        <w:szCs w:val="20"/>
      </w:rPr>
    </w:pPr>
    <w:r>
      <w:rPr>
        <w:noProof/>
      </w:rPr>
      <w:pict>
        <v:rect id="_x0000_s2057" style="position:absolute;margin-left:558.85pt;margin-top:1.5pt;width:7.15pt;height:58.75pt;z-index:251659264;mso-position-horizontal-relative:page;mso-position-vertical-relative:page" fillcolor="#f79646" strokecolor="#f2f2f2" strokeweight="3pt">
          <v:shadow on="t" type="perspective" color="#974706" opacity=".5" offset="1pt" offset2="-1pt"/>
          <w10:wrap anchorx="page" anchory="page"/>
        </v:rect>
      </w:pict>
    </w:r>
    <w:r>
      <w:rPr>
        <w:noProof/>
      </w:rPr>
      <w:pict>
        <v:group id="_x0000_s2058" style="position:absolute;margin-left:0;margin-top:0;width:593.7pt;height:63.75pt;z-index:251660288;mso-position-horizontal:center;mso-position-horizontal-relative:page;mso-position-vertical:top;mso-position-vertical-relative:page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9;top:1431;width:15822;height:0;mso-position-horizontal:center;mso-position-horizontal-relative:page;mso-position-vertical:bottom;mso-position-vertical-relative:top-margin-area" o:connectortype="straight" strokecolor="#31849b"/>
          <v:rect id="_x0000_s2060" style="position:absolute;left:8;top:9;width:4031;height:1439" filled="f" stroked="f"/>
          <w10:wrap anchorx="page" anchory="page"/>
        </v:group>
      </w:pict>
    </w:r>
    <w:r>
      <w:rPr>
        <w:sz w:val="20"/>
        <w:szCs w:val="20"/>
      </w:rPr>
      <w:t>Mohács-Hő Hőszolgáltató Kft</w:t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B43D38" w:rsidRDefault="00B43D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A78"/>
    <w:multiLevelType w:val="hybridMultilevel"/>
    <w:tmpl w:val="5C1E5E3E"/>
    <w:lvl w:ilvl="0" w:tplc="265A92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9359AB"/>
    <w:multiLevelType w:val="hybridMultilevel"/>
    <w:tmpl w:val="C56A1EF2"/>
    <w:lvl w:ilvl="0" w:tplc="040E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623E31"/>
    <w:multiLevelType w:val="hybridMultilevel"/>
    <w:tmpl w:val="6184752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">
    <w:nsid w:val="0FE4446C"/>
    <w:multiLevelType w:val="hybridMultilevel"/>
    <w:tmpl w:val="35CC56A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1C092CBE"/>
    <w:multiLevelType w:val="hybridMultilevel"/>
    <w:tmpl w:val="7C3A3FFE"/>
    <w:lvl w:ilvl="0" w:tplc="265A92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9EF7053"/>
    <w:multiLevelType w:val="hybridMultilevel"/>
    <w:tmpl w:val="EA30E7BA"/>
    <w:lvl w:ilvl="0" w:tplc="265A92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7602D25"/>
    <w:multiLevelType w:val="hybridMultilevel"/>
    <w:tmpl w:val="89ECBE50"/>
    <w:lvl w:ilvl="0" w:tplc="23EC8ABA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FC8129E"/>
    <w:multiLevelType w:val="hybridMultilevel"/>
    <w:tmpl w:val="B298EFA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47B5EDD"/>
    <w:multiLevelType w:val="hybridMultilevel"/>
    <w:tmpl w:val="211E06EC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5627752"/>
    <w:multiLevelType w:val="hybridMultilevel"/>
    <w:tmpl w:val="A2B8D594"/>
    <w:lvl w:ilvl="0" w:tplc="DE30846E">
      <w:start w:val="2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0">
    <w:nsid w:val="49A21C36"/>
    <w:multiLevelType w:val="hybridMultilevel"/>
    <w:tmpl w:val="D4A2C8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9F158DA"/>
    <w:multiLevelType w:val="hybridMultilevel"/>
    <w:tmpl w:val="8480AD22"/>
    <w:lvl w:ilvl="0" w:tplc="A06CE92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bCs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4EBA6873"/>
    <w:multiLevelType w:val="hybridMultilevel"/>
    <w:tmpl w:val="A98AC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6360C1D"/>
    <w:multiLevelType w:val="hybridMultilevel"/>
    <w:tmpl w:val="CFFA30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E7B719F"/>
    <w:multiLevelType w:val="hybridMultilevel"/>
    <w:tmpl w:val="75083142"/>
    <w:lvl w:ilvl="0" w:tplc="DE30846E">
      <w:start w:val="2"/>
      <w:numFmt w:val="bullet"/>
      <w:lvlText w:val=""/>
      <w:lvlJc w:val="left"/>
      <w:pPr>
        <w:ind w:left="19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15">
    <w:nsid w:val="60C949C6"/>
    <w:multiLevelType w:val="hybridMultilevel"/>
    <w:tmpl w:val="CE2AD6F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BD47AC7"/>
    <w:multiLevelType w:val="hybridMultilevel"/>
    <w:tmpl w:val="CDDAE1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7D935101"/>
    <w:multiLevelType w:val="hybridMultilevel"/>
    <w:tmpl w:val="D3F6342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5"/>
  </w:num>
  <w:num w:numId="17">
    <w:abstractNumId w:val="10"/>
  </w:num>
  <w:num w:numId="18">
    <w:abstractNumId w:val="0"/>
  </w:num>
  <w:num w:numId="19">
    <w:abstractNumId w:val="12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D38"/>
    <w:rsid w:val="00B4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pPr>
      <w:spacing w:before="100" w:beforeAutospacing="1" w:after="100" w:afterAutospacing="1"/>
      <w:outlineLvl w:val="0"/>
    </w:pPr>
    <w:rPr>
      <w:b/>
      <w:bCs/>
      <w:kern w:val="3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color w:val="auto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pPr>
      <w:spacing w:after="75"/>
      <w:jc w:val="both"/>
    </w:pPr>
  </w:style>
  <w:style w:type="paragraph" w:customStyle="1" w:styleId="Stlus1">
    <w:name w:val="Stílus 1"/>
    <w:autoRedefine/>
    <w:uiPriority w:val="99"/>
    <w:pPr>
      <w:ind w:right="58"/>
      <w:jc w:val="both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SimSun" w:cs="Times New Roman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customStyle="1" w:styleId="98E0228049674FD98B7FDBE8D51B5BE4">
    <w:name w:val="98E0228049674FD98B7FDBE8D51B5BE4"/>
    <w:uiPriority w:val="99"/>
    <w:pPr>
      <w:spacing w:after="200" w:line="276" w:lineRule="auto"/>
    </w:pPr>
    <w:rPr>
      <w:rFonts w:ascii="Calibri" w:hAnsi="Calibri" w:cs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1172</Words>
  <Characters>6681</Characters>
  <Application>Microsoft Office Outlook</Application>
  <DocSecurity>0</DocSecurity>
  <Lines>0</Lines>
  <Paragraphs>0</Paragraphs>
  <ScaleCrop>false</ScaleCrop>
  <Company>MVÖ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üzleti terv felépítése, részei (üzleti terv minta)</dc:title>
  <dc:subject/>
  <dc:creator>PC</dc:creator>
  <cp:keywords/>
  <dc:description/>
  <cp:lastModifiedBy>kovacs_mirella</cp:lastModifiedBy>
  <cp:revision>2</cp:revision>
  <cp:lastPrinted>2011-09-28T10:51:00Z</cp:lastPrinted>
  <dcterms:created xsi:type="dcterms:W3CDTF">2011-09-28T15:04:00Z</dcterms:created>
  <dcterms:modified xsi:type="dcterms:W3CDTF">2011-09-28T15:04:00Z</dcterms:modified>
</cp:coreProperties>
</file>