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7C" w:rsidRPr="002F422F" w:rsidRDefault="0078697C" w:rsidP="0078697C">
      <w:pPr>
        <w:keepNext/>
        <w:jc w:val="center"/>
        <w:outlineLvl w:val="2"/>
        <w:rPr>
          <w:rFonts w:eastAsia="Times New Roman"/>
          <w:b/>
          <w:bCs/>
          <w:lang w:eastAsia="hu-HU"/>
        </w:rPr>
      </w:pPr>
      <w:r w:rsidRPr="002F422F">
        <w:rPr>
          <w:rFonts w:eastAsia="Times New Roman"/>
          <w:b/>
          <w:bCs/>
          <w:lang w:eastAsia="hu-HU"/>
        </w:rPr>
        <w:t>A Mohácsi Önkormányzat</w:t>
      </w:r>
    </w:p>
    <w:p w:rsidR="0078697C" w:rsidRPr="002F422F" w:rsidRDefault="002F422F" w:rsidP="0078697C">
      <w:pPr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23/2017.(IX.29.)</w:t>
      </w:r>
    </w:p>
    <w:p w:rsidR="0078697C" w:rsidRPr="002F422F" w:rsidRDefault="0078697C" w:rsidP="0078697C">
      <w:pPr>
        <w:jc w:val="center"/>
        <w:rPr>
          <w:rFonts w:eastAsia="Times New Roman"/>
          <w:b/>
          <w:bCs/>
          <w:lang w:eastAsia="hu-HU"/>
        </w:rPr>
      </w:pPr>
      <w:r w:rsidRPr="002F422F">
        <w:rPr>
          <w:rFonts w:eastAsia="Times New Roman"/>
          <w:b/>
          <w:bCs/>
          <w:lang w:eastAsia="hu-HU"/>
        </w:rPr>
        <w:t>r e n d e l e t e</w:t>
      </w:r>
    </w:p>
    <w:p w:rsidR="0078697C" w:rsidRPr="002F422F" w:rsidRDefault="0078697C" w:rsidP="0078697C">
      <w:pPr>
        <w:jc w:val="center"/>
        <w:rPr>
          <w:rFonts w:eastAsia="Times New Roman"/>
          <w:b/>
          <w:bCs/>
          <w:lang w:eastAsia="hu-HU"/>
        </w:rPr>
      </w:pPr>
      <w:proofErr w:type="gramStart"/>
      <w:r w:rsidRPr="002F422F">
        <w:rPr>
          <w:rFonts w:eastAsia="Times New Roman"/>
          <w:b/>
          <w:bCs/>
          <w:lang w:eastAsia="hu-HU"/>
        </w:rPr>
        <w:t>a</w:t>
      </w:r>
      <w:proofErr w:type="gramEnd"/>
      <w:r w:rsidRPr="002F422F">
        <w:rPr>
          <w:rFonts w:eastAsia="Times New Roman"/>
          <w:b/>
          <w:bCs/>
          <w:lang w:eastAsia="hu-HU"/>
        </w:rPr>
        <w:t xml:space="preserve"> közterület-használat helyi szabály</w:t>
      </w:r>
      <w:r w:rsidR="00C437FE" w:rsidRPr="002F422F">
        <w:rPr>
          <w:rFonts w:eastAsia="Times New Roman"/>
          <w:b/>
          <w:bCs/>
          <w:lang w:eastAsia="hu-HU"/>
        </w:rPr>
        <w:t>ozásáról szóló 19/1995.(VI.19.)</w:t>
      </w:r>
      <w:proofErr w:type="spellStart"/>
      <w:r w:rsidRPr="002F422F">
        <w:rPr>
          <w:rFonts w:eastAsia="Times New Roman"/>
          <w:b/>
          <w:bCs/>
          <w:lang w:eastAsia="hu-HU"/>
        </w:rPr>
        <w:t>ör</w:t>
      </w:r>
      <w:proofErr w:type="spellEnd"/>
      <w:r w:rsidRPr="002F422F">
        <w:rPr>
          <w:rFonts w:eastAsia="Times New Roman"/>
          <w:b/>
          <w:bCs/>
          <w:lang w:eastAsia="hu-HU"/>
        </w:rPr>
        <w:t>. módosításáról</w:t>
      </w:r>
    </w:p>
    <w:p w:rsidR="0078697C" w:rsidRPr="002F422F" w:rsidRDefault="0078697C" w:rsidP="0078697C">
      <w:pPr>
        <w:jc w:val="center"/>
        <w:rPr>
          <w:rFonts w:eastAsia="Times New Roman"/>
          <w:b/>
          <w:bCs/>
          <w:lang w:eastAsia="hu-HU"/>
        </w:rPr>
      </w:pPr>
    </w:p>
    <w:p w:rsidR="0078697C" w:rsidRPr="002F422F" w:rsidRDefault="0078697C" w:rsidP="0078697C">
      <w:pPr>
        <w:pStyle w:val="Szvegtrzs"/>
        <w:rPr>
          <w:rFonts w:ascii="Times New Roman" w:hAnsi="Times New Roman"/>
        </w:rPr>
      </w:pPr>
      <w:proofErr w:type="gramStart"/>
      <w:r w:rsidRPr="002F422F">
        <w:rPr>
          <w:rFonts w:ascii="Times New Roman" w:hAnsi="Times New Roman"/>
        </w:rPr>
        <w:t xml:space="preserve">Mohács Város Képviselő-testülete a Magyarország Alaptörvénye 32. cikk (1) bekezdés a) pontjában, figyelemmel a </w:t>
      </w:r>
      <w:r w:rsidRPr="002F422F">
        <w:rPr>
          <w:rFonts w:ascii="Times New Roman" w:hAnsi="Times New Roman"/>
          <w:bCs/>
        </w:rPr>
        <w:t>Magyarország helyi önkormányzatairól</w:t>
      </w:r>
      <w:r w:rsidRPr="002F422F">
        <w:rPr>
          <w:rFonts w:ascii="Times New Roman" w:hAnsi="Times New Roman"/>
        </w:rPr>
        <w:t xml:space="preserve"> szóló</w:t>
      </w:r>
      <w:r w:rsidR="00C437FE" w:rsidRPr="002F422F">
        <w:rPr>
          <w:rFonts w:ascii="Times New Roman" w:hAnsi="Times New Roman"/>
        </w:rPr>
        <w:t xml:space="preserve"> 2011. évi CLXXXIX. törvény 13.</w:t>
      </w:r>
      <w:r w:rsidRPr="002F422F">
        <w:rPr>
          <w:rFonts w:ascii="Times New Roman" w:hAnsi="Times New Roman"/>
        </w:rPr>
        <w:t>§ (1) bekezdés 2. pontjában foglalt feladatkörében eljárva, valamint az épített környezet alakításáról és védelméről szóló 1997. évi LXXVIII. törvény 54.§</w:t>
      </w:r>
      <w:proofErr w:type="spellStart"/>
      <w:r w:rsidRPr="002F422F">
        <w:rPr>
          <w:rFonts w:ascii="Times New Roman" w:hAnsi="Times New Roman"/>
        </w:rPr>
        <w:t>-ának</w:t>
      </w:r>
      <w:proofErr w:type="spellEnd"/>
      <w:r w:rsidRPr="002F422F">
        <w:rPr>
          <w:rFonts w:ascii="Times New Roman" w:hAnsi="Times New Roman"/>
        </w:rPr>
        <w:t xml:space="preserve"> (1) bekezdésében kapott felhatalmazás alapján a közterület-használat helyi szabály</w:t>
      </w:r>
      <w:r w:rsidR="00C437FE" w:rsidRPr="002F422F">
        <w:rPr>
          <w:rFonts w:ascii="Times New Roman" w:hAnsi="Times New Roman"/>
        </w:rPr>
        <w:t>ozásáról szóló 19/1995.(VI.19.)</w:t>
      </w:r>
      <w:proofErr w:type="spellStart"/>
      <w:r w:rsidRPr="002F422F">
        <w:rPr>
          <w:rFonts w:ascii="Times New Roman" w:hAnsi="Times New Roman"/>
        </w:rPr>
        <w:t>ör</w:t>
      </w:r>
      <w:proofErr w:type="spellEnd"/>
      <w:r w:rsidRPr="002F422F">
        <w:rPr>
          <w:rFonts w:ascii="Times New Roman" w:hAnsi="Times New Roman"/>
        </w:rPr>
        <w:t xml:space="preserve"> számú rendeletét (a továbbiakban: R.) az alábbiak szerint módosítja:</w:t>
      </w:r>
      <w:proofErr w:type="gramEnd"/>
    </w:p>
    <w:p w:rsidR="0078697C" w:rsidRPr="002F422F" w:rsidRDefault="0078697C" w:rsidP="0078697C">
      <w:pPr>
        <w:jc w:val="both"/>
      </w:pPr>
    </w:p>
    <w:p w:rsidR="0078697C" w:rsidRPr="002F422F" w:rsidRDefault="0078697C" w:rsidP="0078697C">
      <w:pPr>
        <w:jc w:val="both"/>
      </w:pPr>
      <w:r w:rsidRPr="002F422F">
        <w:rPr>
          <w:b/>
        </w:rPr>
        <w:t>1.§</w:t>
      </w:r>
      <w:r w:rsidRPr="002F422F">
        <w:t xml:space="preserve"> Az R </w:t>
      </w:r>
      <w:r w:rsidR="00224BE8" w:rsidRPr="002F422F">
        <w:t>2.§ (4) bekezdés első mondata helyébe az alábbi mondat lép:</w:t>
      </w:r>
    </w:p>
    <w:p w:rsidR="00224BE8" w:rsidRPr="002F422F" w:rsidRDefault="00224BE8" w:rsidP="0078697C">
      <w:pPr>
        <w:jc w:val="both"/>
      </w:pPr>
    </w:p>
    <w:p w:rsidR="00224BE8" w:rsidRPr="002F422F" w:rsidRDefault="00224BE8" w:rsidP="0078697C">
      <w:pPr>
        <w:jc w:val="both"/>
      </w:pPr>
      <w:r w:rsidRPr="002F422F">
        <w:t>„A város területe – az (5) bekezdésben foglalt kivétellel –három díjfizetési övezetre tagozódik”</w:t>
      </w:r>
    </w:p>
    <w:p w:rsidR="00224BE8" w:rsidRPr="002F422F" w:rsidRDefault="00224BE8" w:rsidP="0078697C">
      <w:pPr>
        <w:jc w:val="both"/>
      </w:pPr>
    </w:p>
    <w:p w:rsidR="00224BE8" w:rsidRPr="002F422F" w:rsidRDefault="00C437FE" w:rsidP="0078697C">
      <w:pPr>
        <w:jc w:val="both"/>
      </w:pPr>
      <w:r w:rsidRPr="002F422F">
        <w:rPr>
          <w:b/>
        </w:rPr>
        <w:t>2.</w:t>
      </w:r>
      <w:r w:rsidR="00224BE8" w:rsidRPr="002F422F">
        <w:rPr>
          <w:b/>
        </w:rPr>
        <w:t>§</w:t>
      </w:r>
      <w:r w:rsidR="00F30FF8" w:rsidRPr="002F422F">
        <w:t xml:space="preserve"> A R. 2.</w:t>
      </w:r>
      <w:r w:rsidR="00224BE8" w:rsidRPr="002F422F">
        <w:t>§</w:t>
      </w:r>
      <w:proofErr w:type="spellStart"/>
      <w:r w:rsidR="00224BE8" w:rsidRPr="002F422F">
        <w:t>-</w:t>
      </w:r>
      <w:proofErr w:type="gramStart"/>
      <w:r w:rsidR="00224BE8" w:rsidRPr="002F422F">
        <w:t>a</w:t>
      </w:r>
      <w:proofErr w:type="spellEnd"/>
      <w:proofErr w:type="gramEnd"/>
      <w:r w:rsidR="00224BE8" w:rsidRPr="002F422F">
        <w:t xml:space="preserve"> az alábbi bekezdéssel egészül ki: </w:t>
      </w:r>
    </w:p>
    <w:p w:rsidR="00B52C07" w:rsidRPr="002F422F" w:rsidRDefault="00224BE8" w:rsidP="0078697C">
      <w:pPr>
        <w:jc w:val="both"/>
      </w:pPr>
      <w:r w:rsidRPr="002F422F">
        <w:t>„</w:t>
      </w:r>
      <w:r w:rsidR="007110BF" w:rsidRPr="002F422F">
        <w:t>(5)</w:t>
      </w:r>
      <w:r w:rsidRPr="002F422F">
        <w:t xml:space="preserve"> A Duna-parti közterül</w:t>
      </w:r>
      <w:r w:rsidR="002568DB" w:rsidRPr="002F422F">
        <w:t xml:space="preserve">etek vonatkozásában a körzetek </w:t>
      </w:r>
      <w:r w:rsidRPr="002F422F">
        <w:t>3 övezetre tagolódással kerül</w:t>
      </w:r>
      <w:r w:rsidR="002568DB" w:rsidRPr="002F422F">
        <w:t>nek</w:t>
      </w:r>
      <w:r w:rsidRPr="002F422F">
        <w:t xml:space="preserve"> kialakításra</w:t>
      </w:r>
      <w:r w:rsidR="00B52C07" w:rsidRPr="002F422F">
        <w:t xml:space="preserve"> (6. számú melléklet):</w:t>
      </w:r>
    </w:p>
    <w:p w:rsidR="00224BE8" w:rsidRPr="002F422F" w:rsidRDefault="00F30FF8" w:rsidP="00F30FF8">
      <w:pPr>
        <w:ind w:left="1413"/>
        <w:jc w:val="both"/>
      </w:pPr>
      <w:r w:rsidRPr="002F422F">
        <w:t xml:space="preserve">1. </w:t>
      </w:r>
      <w:r w:rsidR="00224BE8" w:rsidRPr="002F422F">
        <w:t>övezet: Duna jobb part 1147+3</w:t>
      </w:r>
      <w:r w:rsidR="007C285D" w:rsidRPr="002F422F">
        <w:t>35</w:t>
      </w:r>
      <w:r w:rsidR="00224BE8" w:rsidRPr="002F422F">
        <w:t xml:space="preserve"> </w:t>
      </w:r>
      <w:proofErr w:type="spellStart"/>
      <w:r w:rsidR="00224BE8" w:rsidRPr="002F422F">
        <w:t>fkm-</w:t>
      </w:r>
      <w:proofErr w:type="spellEnd"/>
      <w:r w:rsidR="00224BE8" w:rsidRPr="002F422F">
        <w:t xml:space="preserve"> </w:t>
      </w:r>
      <w:proofErr w:type="spellStart"/>
      <w:r w:rsidR="00224BE8" w:rsidRPr="002F422F">
        <w:t>től</w:t>
      </w:r>
      <w:proofErr w:type="spellEnd"/>
      <w:r w:rsidR="00224BE8" w:rsidRPr="002F422F">
        <w:t xml:space="preserve"> 1446+524 </w:t>
      </w:r>
      <w:proofErr w:type="spellStart"/>
      <w:r w:rsidR="00224BE8" w:rsidRPr="002F422F">
        <w:t>fkm-ig</w:t>
      </w:r>
      <w:proofErr w:type="spellEnd"/>
    </w:p>
    <w:p w:rsidR="00224BE8" w:rsidRPr="002F422F" w:rsidRDefault="00224BE8" w:rsidP="0078697C">
      <w:pPr>
        <w:jc w:val="both"/>
      </w:pPr>
      <w:r w:rsidRPr="002F422F">
        <w:tab/>
      </w:r>
      <w:r w:rsidRPr="002F422F">
        <w:tab/>
        <w:t xml:space="preserve">2. övezet: Duna jobb part 1447+840 </w:t>
      </w:r>
      <w:proofErr w:type="spellStart"/>
      <w:r w:rsidRPr="002F422F">
        <w:t>fkm-től</w:t>
      </w:r>
      <w:proofErr w:type="spellEnd"/>
      <w:r w:rsidRPr="002F422F">
        <w:t xml:space="preserve"> 1447+3</w:t>
      </w:r>
      <w:r w:rsidR="007C285D" w:rsidRPr="002F422F">
        <w:t>35</w:t>
      </w:r>
      <w:r w:rsidRPr="002F422F">
        <w:t xml:space="preserve"> </w:t>
      </w:r>
      <w:proofErr w:type="spellStart"/>
      <w:r w:rsidRPr="002F422F">
        <w:t>fkm-ig</w:t>
      </w:r>
      <w:proofErr w:type="spellEnd"/>
      <w:r w:rsidRPr="002F422F">
        <w:t xml:space="preserve"> </w:t>
      </w:r>
      <w:proofErr w:type="gramStart"/>
      <w:r w:rsidRPr="002F422F">
        <w:t>és</w:t>
      </w:r>
      <w:r w:rsidRPr="002F422F">
        <w:tab/>
      </w:r>
      <w:r w:rsidRPr="002F422F">
        <w:tab/>
      </w:r>
      <w:r w:rsidRPr="002F422F">
        <w:tab/>
      </w:r>
      <w:r w:rsidRPr="002F422F">
        <w:tab/>
      </w:r>
      <w:r w:rsidRPr="002F422F">
        <w:tab/>
        <w:t xml:space="preserve">    Duna</w:t>
      </w:r>
      <w:proofErr w:type="gramEnd"/>
      <w:r w:rsidRPr="002F422F">
        <w:t xml:space="preserve"> jobb part 1446+524 </w:t>
      </w:r>
      <w:proofErr w:type="spellStart"/>
      <w:r w:rsidRPr="002F422F">
        <w:t>fkm-től</w:t>
      </w:r>
      <w:proofErr w:type="spellEnd"/>
      <w:r w:rsidRPr="002F422F">
        <w:t xml:space="preserve"> 1446+074 </w:t>
      </w:r>
      <w:proofErr w:type="spellStart"/>
      <w:r w:rsidRPr="002F422F">
        <w:t>fkm-ig</w:t>
      </w:r>
      <w:proofErr w:type="spellEnd"/>
    </w:p>
    <w:p w:rsidR="00224BE8" w:rsidRPr="002F422F" w:rsidRDefault="00224BE8" w:rsidP="0078697C">
      <w:pPr>
        <w:jc w:val="both"/>
      </w:pPr>
      <w:r w:rsidRPr="002F422F">
        <w:tab/>
      </w:r>
      <w:r w:rsidRPr="002F422F">
        <w:tab/>
        <w:t xml:space="preserve">3. övezet: Duna jobb part 1452+184 </w:t>
      </w:r>
      <w:proofErr w:type="spellStart"/>
      <w:r w:rsidRPr="002F422F">
        <w:t>fkm-től</w:t>
      </w:r>
      <w:proofErr w:type="spellEnd"/>
      <w:r w:rsidRPr="002F422F">
        <w:t xml:space="preserve"> 1447+840 </w:t>
      </w:r>
      <w:proofErr w:type="spellStart"/>
      <w:r w:rsidRPr="002F422F">
        <w:t>fkm-ig</w:t>
      </w:r>
      <w:proofErr w:type="spellEnd"/>
      <w:r w:rsidRPr="002F422F">
        <w:t xml:space="preserve"> és</w:t>
      </w:r>
    </w:p>
    <w:p w:rsidR="00224BE8" w:rsidRPr="002F422F" w:rsidRDefault="00224BE8" w:rsidP="0078697C">
      <w:pPr>
        <w:jc w:val="both"/>
      </w:pPr>
      <w:r w:rsidRPr="002F422F">
        <w:tab/>
      </w:r>
      <w:r w:rsidRPr="002F422F">
        <w:tab/>
      </w:r>
      <w:r w:rsidRPr="002F422F">
        <w:tab/>
        <w:t xml:space="preserve">    Duna jobb part </w:t>
      </w:r>
      <w:r w:rsidR="00B52C07" w:rsidRPr="002F422F">
        <w:t xml:space="preserve">1446+074 </w:t>
      </w:r>
      <w:proofErr w:type="spellStart"/>
      <w:r w:rsidR="00B52C07" w:rsidRPr="002F422F">
        <w:t>fkm-től</w:t>
      </w:r>
      <w:proofErr w:type="spellEnd"/>
      <w:r w:rsidR="00B52C07" w:rsidRPr="002F422F">
        <w:t xml:space="preserve"> 1441+830 </w:t>
      </w:r>
      <w:proofErr w:type="spellStart"/>
      <w:r w:rsidR="00B52C07" w:rsidRPr="002F422F">
        <w:t>fkm-ig</w:t>
      </w:r>
      <w:proofErr w:type="spellEnd"/>
      <w:r w:rsidR="00B52C07" w:rsidRPr="002F422F">
        <w:t>, valamint</w:t>
      </w:r>
    </w:p>
    <w:p w:rsidR="00B52C07" w:rsidRPr="002F422F" w:rsidRDefault="00B52C07" w:rsidP="0078697C">
      <w:pPr>
        <w:jc w:val="both"/>
      </w:pPr>
      <w:r w:rsidRPr="002F422F">
        <w:tab/>
      </w:r>
      <w:r w:rsidRPr="002F422F">
        <w:tab/>
      </w:r>
      <w:r w:rsidRPr="002F422F">
        <w:tab/>
        <w:t xml:space="preserve">    Duna </w:t>
      </w:r>
      <w:proofErr w:type="spellStart"/>
      <w:r w:rsidRPr="002F422F">
        <w:t>balparti</w:t>
      </w:r>
      <w:proofErr w:type="spellEnd"/>
      <w:r w:rsidRPr="002F422F">
        <w:t xml:space="preserve"> övezet”</w:t>
      </w:r>
    </w:p>
    <w:p w:rsidR="00B52C07" w:rsidRPr="002F422F" w:rsidRDefault="00B52C07" w:rsidP="0078697C">
      <w:pPr>
        <w:jc w:val="both"/>
      </w:pPr>
    </w:p>
    <w:p w:rsidR="00B52C07" w:rsidRPr="002F422F" w:rsidRDefault="00F30FF8" w:rsidP="0078697C">
      <w:pPr>
        <w:jc w:val="both"/>
      </w:pPr>
      <w:r w:rsidRPr="002F422F">
        <w:rPr>
          <w:b/>
        </w:rPr>
        <w:t>3.</w:t>
      </w:r>
      <w:r w:rsidR="00B52C07" w:rsidRPr="002F422F">
        <w:rPr>
          <w:b/>
        </w:rPr>
        <w:t>§</w:t>
      </w:r>
      <w:r w:rsidRPr="002F422F">
        <w:t xml:space="preserve"> A R. 3.</w:t>
      </w:r>
      <w:r w:rsidR="00BF3645">
        <w:t>§ (2</w:t>
      </w:r>
      <w:bookmarkStart w:id="0" w:name="_GoBack"/>
      <w:bookmarkEnd w:id="0"/>
      <w:r w:rsidR="00B52C07" w:rsidRPr="002F422F">
        <w:t>) bekezdés p) pontja helyébe az alábbi rendelkezés lép:</w:t>
      </w:r>
    </w:p>
    <w:p w:rsidR="00B52C07" w:rsidRPr="002F422F" w:rsidRDefault="00060725" w:rsidP="0078697C">
      <w:pPr>
        <w:jc w:val="both"/>
        <w:rPr>
          <w:color w:val="000000"/>
        </w:rPr>
      </w:pPr>
      <w:r w:rsidRPr="002F422F">
        <w:t xml:space="preserve">„p) </w:t>
      </w:r>
      <w:r w:rsidRPr="002F422F">
        <w:rPr>
          <w:color w:val="000000"/>
        </w:rPr>
        <w:t xml:space="preserve"> a Duna partvonalával közvetlenül határos területeknek hajók, úszólétesítmények vagy mederhasználati </w:t>
      </w:r>
      <w:proofErr w:type="spellStart"/>
      <w:r w:rsidRPr="002F422F">
        <w:rPr>
          <w:color w:val="000000"/>
        </w:rPr>
        <w:t>vízilétesítmények</w:t>
      </w:r>
      <w:proofErr w:type="spellEnd"/>
      <w:r w:rsidRPr="002F422F">
        <w:rPr>
          <w:color w:val="000000"/>
        </w:rPr>
        <w:t xml:space="preserve"> kikötése céljából történő igénybevételéhez, így különösen a hajók, úszólétesítmények vagy mederhasználati </w:t>
      </w:r>
      <w:proofErr w:type="spellStart"/>
      <w:r w:rsidRPr="002F422F">
        <w:rPr>
          <w:color w:val="000000"/>
        </w:rPr>
        <w:t>vízilétesítmények</w:t>
      </w:r>
      <w:proofErr w:type="spellEnd"/>
      <w:r w:rsidRPr="002F422F">
        <w:rPr>
          <w:color w:val="000000"/>
        </w:rPr>
        <w:t xml:space="preserve"> kikötését szolgáló rögzítő eszköz (kikötőbak, </w:t>
      </w:r>
      <w:proofErr w:type="spellStart"/>
      <w:r w:rsidRPr="002F422F">
        <w:rPr>
          <w:color w:val="000000"/>
        </w:rPr>
        <w:t>támdorong</w:t>
      </w:r>
      <w:proofErr w:type="spellEnd"/>
      <w:r w:rsidRPr="002F422F">
        <w:rPr>
          <w:color w:val="000000"/>
        </w:rPr>
        <w:t xml:space="preserve">), feljáró vagy bármely egyéb kikötői létesítmény igénybevételéhez, vagy ilyen rögzítő eszköz (kikötőbak, </w:t>
      </w:r>
      <w:proofErr w:type="spellStart"/>
      <w:r w:rsidRPr="002F422F">
        <w:rPr>
          <w:color w:val="000000"/>
        </w:rPr>
        <w:t>támdorong</w:t>
      </w:r>
      <w:proofErr w:type="spellEnd"/>
      <w:r w:rsidRPr="002F422F">
        <w:rPr>
          <w:color w:val="000000"/>
        </w:rPr>
        <w:t>), feljáró vagy bármely egyéb kikötői létesítmény létesítéséhez, fennmaradásához”</w:t>
      </w:r>
    </w:p>
    <w:p w:rsidR="00060725" w:rsidRPr="002F422F" w:rsidRDefault="00060725" w:rsidP="0078697C">
      <w:pPr>
        <w:jc w:val="both"/>
        <w:rPr>
          <w:color w:val="000000"/>
        </w:rPr>
      </w:pPr>
    </w:p>
    <w:p w:rsidR="00060725" w:rsidRPr="002F422F" w:rsidRDefault="00060725" w:rsidP="0078697C">
      <w:pPr>
        <w:jc w:val="both"/>
        <w:rPr>
          <w:color w:val="000000"/>
        </w:rPr>
      </w:pPr>
      <w:r w:rsidRPr="002F422F">
        <w:rPr>
          <w:b/>
          <w:color w:val="000000"/>
        </w:rPr>
        <w:t>4.§</w:t>
      </w:r>
      <w:r w:rsidR="00F30FF8" w:rsidRPr="002F422F">
        <w:rPr>
          <w:color w:val="000000"/>
        </w:rPr>
        <w:t xml:space="preserve"> A R. </w:t>
      </w:r>
      <w:proofErr w:type="gramStart"/>
      <w:r w:rsidR="00F30FF8" w:rsidRPr="002F422F">
        <w:rPr>
          <w:color w:val="000000"/>
        </w:rPr>
        <w:t>az</w:t>
      </w:r>
      <w:proofErr w:type="gramEnd"/>
      <w:r w:rsidR="00F30FF8" w:rsidRPr="002F422F">
        <w:rPr>
          <w:color w:val="000000"/>
        </w:rPr>
        <w:t xml:space="preserve"> alábbi 6/A.</w:t>
      </w:r>
      <w:r w:rsidRPr="002F422F">
        <w:rPr>
          <w:color w:val="000000"/>
        </w:rPr>
        <w:t>§</w:t>
      </w:r>
      <w:proofErr w:type="spellStart"/>
      <w:r w:rsidRPr="002F422F">
        <w:rPr>
          <w:color w:val="000000"/>
        </w:rPr>
        <w:t>-szal</w:t>
      </w:r>
      <w:proofErr w:type="spellEnd"/>
      <w:r w:rsidRPr="002F422F">
        <w:rPr>
          <w:color w:val="000000"/>
        </w:rPr>
        <w:t xml:space="preserve"> egészül ki:</w:t>
      </w:r>
    </w:p>
    <w:p w:rsidR="00060725" w:rsidRPr="002F422F" w:rsidRDefault="00060725" w:rsidP="0078697C">
      <w:pPr>
        <w:jc w:val="both"/>
        <w:rPr>
          <w:color w:val="000000"/>
        </w:rPr>
      </w:pPr>
    </w:p>
    <w:p w:rsidR="00060725" w:rsidRPr="002F422F" w:rsidRDefault="00060725" w:rsidP="00060725">
      <w:pPr>
        <w:jc w:val="center"/>
        <w:rPr>
          <w:color w:val="000000"/>
        </w:rPr>
      </w:pPr>
      <w:r w:rsidRPr="002F422F">
        <w:rPr>
          <w:color w:val="000000"/>
        </w:rPr>
        <w:t>„Kikötői létesítményekkel kapcsolatos különös szabályok</w:t>
      </w:r>
    </w:p>
    <w:p w:rsidR="00060725" w:rsidRPr="002F422F" w:rsidRDefault="00060725" w:rsidP="00060725">
      <w:pPr>
        <w:rPr>
          <w:color w:val="000000"/>
        </w:rPr>
      </w:pPr>
    </w:p>
    <w:p w:rsidR="00060725" w:rsidRPr="002F422F" w:rsidRDefault="00F30FF8" w:rsidP="00697FB0">
      <w:pPr>
        <w:jc w:val="both"/>
        <w:rPr>
          <w:color w:val="000000"/>
        </w:rPr>
      </w:pPr>
      <w:r w:rsidRPr="002F422F">
        <w:rPr>
          <w:color w:val="000000"/>
        </w:rPr>
        <w:t>6/A.</w:t>
      </w:r>
      <w:r w:rsidR="00060725" w:rsidRPr="002F422F">
        <w:rPr>
          <w:color w:val="000000"/>
        </w:rPr>
        <w:t xml:space="preserve">§ </w:t>
      </w:r>
      <w:r w:rsidR="00697FB0" w:rsidRPr="002F422F">
        <w:rPr>
          <w:color w:val="000000"/>
        </w:rPr>
        <w:t>(1) Mohács Város</w:t>
      </w:r>
      <w:r w:rsidR="00060725" w:rsidRPr="002F422F">
        <w:rPr>
          <w:color w:val="000000"/>
        </w:rPr>
        <w:t xml:space="preserve"> Önkormányzat</w:t>
      </w:r>
      <w:r w:rsidR="00697FB0" w:rsidRPr="002F422F">
        <w:rPr>
          <w:color w:val="000000"/>
        </w:rPr>
        <w:t>ának</w:t>
      </w:r>
      <w:r w:rsidR="00060725" w:rsidRPr="002F422F">
        <w:rPr>
          <w:color w:val="000000"/>
        </w:rPr>
        <w:t xml:space="preserve"> tulajdonában lévő közterületeknek kikötői létesítmények céljából történő igénybevétele vonatkozásában a rendelet szabályait a </w:t>
      </w:r>
      <w:r w:rsidR="00697FB0" w:rsidRPr="002F422F">
        <w:rPr>
          <w:color w:val="000000"/>
        </w:rPr>
        <w:t>6/</w:t>
      </w:r>
      <w:proofErr w:type="gramStart"/>
      <w:r w:rsidR="00697FB0" w:rsidRPr="002F422F">
        <w:rPr>
          <w:color w:val="000000"/>
        </w:rPr>
        <w:t>A</w:t>
      </w:r>
      <w:proofErr w:type="gramEnd"/>
      <w:r w:rsidR="00697FB0" w:rsidRPr="002F422F">
        <w:rPr>
          <w:color w:val="000000"/>
        </w:rPr>
        <w:t xml:space="preserve">. </w:t>
      </w:r>
      <w:r w:rsidR="00060725" w:rsidRPr="002F422F">
        <w:rPr>
          <w:color w:val="000000"/>
        </w:rPr>
        <w:t>szakasz</w:t>
      </w:r>
      <w:r w:rsidR="00697FB0" w:rsidRPr="002F422F">
        <w:rPr>
          <w:color w:val="000000"/>
        </w:rPr>
        <w:t>ban</w:t>
      </w:r>
      <w:r w:rsidR="00060725" w:rsidRPr="002F422F">
        <w:rPr>
          <w:color w:val="000000"/>
        </w:rPr>
        <w:t xml:space="preserve"> foglalt eltérésekkel kell alkalmazni.</w:t>
      </w:r>
    </w:p>
    <w:p w:rsidR="00697FB0" w:rsidRPr="002F422F" w:rsidRDefault="00697FB0" w:rsidP="00697FB0">
      <w:pPr>
        <w:jc w:val="both"/>
        <w:rPr>
          <w:color w:val="000000"/>
        </w:rPr>
      </w:pPr>
      <w:r w:rsidRPr="002F422F">
        <w:rPr>
          <w:color w:val="000000"/>
        </w:rPr>
        <w:t>(2) A kikötői létesítmény létesítéséhez, fennmaradásához</w:t>
      </w:r>
      <w:r w:rsidR="002568DB" w:rsidRPr="002F422F">
        <w:rPr>
          <w:color w:val="000000"/>
        </w:rPr>
        <w:t>, igénybevételéhez</w:t>
      </w:r>
      <w:r w:rsidRPr="002F422F">
        <w:rPr>
          <w:color w:val="000000"/>
        </w:rPr>
        <w:t xml:space="preserve"> szükséges közterület-használati hozzájárulás iránti kérelem benyújtásakor nyilatkozni szükséges a kikötői osztályba, osztályokba sorolásáról, a kikötői úszólétesítményt igénybevevő hajók folyóméterben meghatározott maximális hosszáról, egyéb mederhasználati </w:t>
      </w:r>
      <w:proofErr w:type="spellStart"/>
      <w:r w:rsidRPr="002F422F">
        <w:rPr>
          <w:color w:val="000000"/>
        </w:rPr>
        <w:t>vízilétesítmény</w:t>
      </w:r>
      <w:proofErr w:type="spellEnd"/>
      <w:r w:rsidRPr="002F422F">
        <w:rPr>
          <w:color w:val="000000"/>
        </w:rPr>
        <w:t xml:space="preserve"> esetén, annak partra vetített folyóméterben meghatározott hosszáról, továbbá a kérelmező köteles a kikötői létesítményt helyszínrajzon megjeleníteni, és a helyszínről fényképet csatolni.</w:t>
      </w:r>
    </w:p>
    <w:p w:rsidR="00E21B4B" w:rsidRPr="002F422F" w:rsidRDefault="00D17190" w:rsidP="00697FB0">
      <w:pPr>
        <w:jc w:val="both"/>
        <w:rPr>
          <w:color w:val="000000"/>
        </w:rPr>
      </w:pPr>
      <w:r w:rsidRPr="002F422F">
        <w:rPr>
          <w:color w:val="000000"/>
        </w:rPr>
        <w:t xml:space="preserve">(3) A kikötői létesítmény közterület-használati díját a kikötői </w:t>
      </w:r>
      <w:r w:rsidR="00226AD9" w:rsidRPr="002F422F">
        <w:rPr>
          <w:color w:val="000000"/>
        </w:rPr>
        <w:t>osztály</w:t>
      </w:r>
      <w:r w:rsidRPr="002F422F">
        <w:rPr>
          <w:color w:val="000000"/>
        </w:rPr>
        <w:t xml:space="preserve"> (több kikötői osztály megjelölése esetén a legmagasabb kikötői </w:t>
      </w:r>
      <w:r w:rsidR="00226AD9" w:rsidRPr="002F422F">
        <w:rPr>
          <w:color w:val="000000"/>
        </w:rPr>
        <w:t>osztály</w:t>
      </w:r>
      <w:r w:rsidRPr="002F422F">
        <w:rPr>
          <w:color w:val="000000"/>
        </w:rPr>
        <w:t xml:space="preserve">), a földrajzi együttható szorzószámainak, a kikötői úszólétesítményt igénybevevő hajók folyóméterben meghatározott maximális hosszának - egyéb mederhasználati </w:t>
      </w:r>
      <w:proofErr w:type="spellStart"/>
      <w:r w:rsidRPr="002F422F">
        <w:rPr>
          <w:color w:val="000000"/>
        </w:rPr>
        <w:t>vízilétesítmény</w:t>
      </w:r>
      <w:proofErr w:type="spellEnd"/>
      <w:r w:rsidRPr="002F422F">
        <w:rPr>
          <w:color w:val="000000"/>
        </w:rPr>
        <w:t xml:space="preserve"> esetén partra vetített folyóméterben meghatározott hosszának - és a </w:t>
      </w:r>
      <w:r w:rsidR="00226AD9" w:rsidRPr="002F422F">
        <w:rPr>
          <w:color w:val="000000"/>
        </w:rPr>
        <w:t>k</w:t>
      </w:r>
      <w:r w:rsidR="00226AD9" w:rsidRPr="002F422F">
        <w:t>ikötői létesítmények kikötői alapdíja</w:t>
      </w:r>
      <w:r w:rsidR="00226AD9" w:rsidRPr="002F422F">
        <w:rPr>
          <w:color w:val="000000"/>
        </w:rPr>
        <w:t xml:space="preserve"> </w:t>
      </w:r>
      <w:r w:rsidRPr="002F422F">
        <w:rPr>
          <w:color w:val="000000"/>
        </w:rPr>
        <w:t xml:space="preserve">szorzataként kell meghatározni e rendelet 1. és 6. mellékletei segítségével. </w:t>
      </w:r>
    </w:p>
    <w:p w:rsidR="00D17190" w:rsidRPr="002F422F" w:rsidRDefault="00D17190" w:rsidP="00697FB0">
      <w:pPr>
        <w:jc w:val="both"/>
        <w:rPr>
          <w:color w:val="000000"/>
        </w:rPr>
      </w:pPr>
      <w:r w:rsidRPr="002F422F">
        <w:rPr>
          <w:color w:val="000000"/>
        </w:rPr>
        <w:t>(4) A Kikötői együttható értéke</w:t>
      </w:r>
      <w:r w:rsidR="007110BF" w:rsidRPr="002F422F">
        <w:rPr>
          <w:color w:val="000000"/>
        </w:rPr>
        <w:t xml:space="preserve"> (több kikötői osztály esetén a legmagasabb érték)</w:t>
      </w:r>
      <w:r w:rsidRPr="002F422F">
        <w:rPr>
          <w:color w:val="000000"/>
        </w:rPr>
        <w:t>:</w:t>
      </w:r>
    </w:p>
    <w:tbl>
      <w:tblPr>
        <w:tblStyle w:val="Rcsostblzat"/>
        <w:tblW w:w="0" w:type="auto"/>
        <w:tblInd w:w="473" w:type="dxa"/>
        <w:tblLook w:val="04A0" w:firstRow="1" w:lastRow="0" w:firstColumn="1" w:lastColumn="0" w:noHBand="0" w:noVBand="1"/>
      </w:tblPr>
      <w:tblGrid>
        <w:gridCol w:w="817"/>
        <w:gridCol w:w="3969"/>
      </w:tblGrid>
      <w:tr w:rsidR="007110BF" w:rsidRPr="002F422F" w:rsidTr="007110BF">
        <w:tc>
          <w:tcPr>
            <w:tcW w:w="817" w:type="dxa"/>
          </w:tcPr>
          <w:p w:rsidR="007110BF" w:rsidRPr="002F422F" w:rsidRDefault="007110BF" w:rsidP="0078697C">
            <w:pPr>
              <w:jc w:val="both"/>
            </w:pPr>
            <w:r w:rsidRPr="002F422F">
              <w:lastRenderedPageBreak/>
              <w:t>Érték</w:t>
            </w:r>
          </w:p>
        </w:tc>
        <w:tc>
          <w:tcPr>
            <w:tcW w:w="3969" w:type="dxa"/>
          </w:tcPr>
          <w:p w:rsidR="007110BF" w:rsidRPr="002F422F" w:rsidRDefault="007110BF" w:rsidP="0078697C">
            <w:pPr>
              <w:jc w:val="both"/>
            </w:pPr>
            <w:r w:rsidRPr="002F422F">
              <w:t>Kikötői osztály</w:t>
            </w:r>
          </w:p>
        </w:tc>
      </w:tr>
      <w:tr w:rsidR="007110BF" w:rsidRPr="002F422F" w:rsidTr="007110BF">
        <w:tc>
          <w:tcPr>
            <w:tcW w:w="817" w:type="dxa"/>
          </w:tcPr>
          <w:p w:rsidR="007110BF" w:rsidRPr="002F422F" w:rsidRDefault="007110BF" w:rsidP="0078697C">
            <w:pPr>
              <w:jc w:val="both"/>
            </w:pPr>
            <w:r w:rsidRPr="002F422F">
              <w:t>0,3</w:t>
            </w:r>
            <w:r w:rsidR="00914C45" w:rsidRPr="002F422F">
              <w:t>5</w:t>
            </w:r>
          </w:p>
        </w:tc>
        <w:tc>
          <w:tcPr>
            <w:tcW w:w="3969" w:type="dxa"/>
          </w:tcPr>
          <w:p w:rsidR="007110BF" w:rsidRPr="002F422F" w:rsidRDefault="00F02F6D" w:rsidP="0078697C">
            <w:pPr>
              <w:jc w:val="both"/>
            </w:pPr>
            <w:r w:rsidRPr="002F422F">
              <w:t>Szabadidős motoros vízi jármű-kikötő</w:t>
            </w:r>
          </w:p>
        </w:tc>
      </w:tr>
      <w:tr w:rsidR="007110BF" w:rsidRPr="002F422F" w:rsidTr="007110BF">
        <w:tc>
          <w:tcPr>
            <w:tcW w:w="817" w:type="dxa"/>
          </w:tcPr>
          <w:p w:rsidR="007110BF" w:rsidRPr="002F422F" w:rsidRDefault="007110BF" w:rsidP="0078697C">
            <w:pPr>
              <w:jc w:val="both"/>
            </w:pPr>
            <w:r w:rsidRPr="002F422F">
              <w:t>0,3</w:t>
            </w:r>
            <w:r w:rsidR="00914C45" w:rsidRPr="002F422F">
              <w:t>5</w:t>
            </w:r>
          </w:p>
        </w:tc>
        <w:tc>
          <w:tcPr>
            <w:tcW w:w="3969" w:type="dxa"/>
          </w:tcPr>
          <w:p w:rsidR="007110BF" w:rsidRPr="002F422F" w:rsidRDefault="007110BF" w:rsidP="0078697C">
            <w:pPr>
              <w:jc w:val="both"/>
            </w:pPr>
            <w:r w:rsidRPr="002F422F">
              <w:t>Csónakkikötő</w:t>
            </w:r>
          </w:p>
        </w:tc>
      </w:tr>
      <w:tr w:rsidR="007110BF" w:rsidRPr="002F422F" w:rsidTr="007110BF">
        <w:tc>
          <w:tcPr>
            <w:tcW w:w="817" w:type="dxa"/>
          </w:tcPr>
          <w:p w:rsidR="007110BF" w:rsidRPr="002F422F" w:rsidRDefault="007110BF" w:rsidP="0078697C">
            <w:pPr>
              <w:jc w:val="both"/>
            </w:pPr>
            <w:r w:rsidRPr="002F422F">
              <w:t>1</w:t>
            </w:r>
          </w:p>
        </w:tc>
        <w:tc>
          <w:tcPr>
            <w:tcW w:w="3969" w:type="dxa"/>
          </w:tcPr>
          <w:p w:rsidR="007110BF" w:rsidRPr="002F422F" w:rsidRDefault="007110BF" w:rsidP="0078697C">
            <w:pPr>
              <w:jc w:val="both"/>
            </w:pPr>
            <w:r w:rsidRPr="002F422F">
              <w:t>Közszolgáltatási személyhajó-kikötő</w:t>
            </w:r>
          </w:p>
        </w:tc>
      </w:tr>
      <w:tr w:rsidR="00F02F6D" w:rsidRPr="002F422F" w:rsidTr="007110BF">
        <w:tc>
          <w:tcPr>
            <w:tcW w:w="817" w:type="dxa"/>
          </w:tcPr>
          <w:p w:rsidR="00F02F6D" w:rsidRPr="002F422F" w:rsidRDefault="00F02F6D" w:rsidP="0078697C">
            <w:pPr>
              <w:jc w:val="both"/>
            </w:pPr>
            <w:r w:rsidRPr="002F422F">
              <w:t>1</w:t>
            </w:r>
          </w:p>
        </w:tc>
        <w:tc>
          <w:tcPr>
            <w:tcW w:w="3969" w:type="dxa"/>
          </w:tcPr>
          <w:p w:rsidR="00F02F6D" w:rsidRPr="002F422F" w:rsidRDefault="00F02F6D" w:rsidP="0078697C">
            <w:pPr>
              <w:jc w:val="both"/>
            </w:pPr>
            <w:r w:rsidRPr="002F422F">
              <w:rPr>
                <w:color w:val="000000"/>
              </w:rPr>
              <w:t>Motoros kishajó-kikötő</w:t>
            </w:r>
          </w:p>
        </w:tc>
      </w:tr>
      <w:tr w:rsidR="007110BF" w:rsidRPr="002F422F" w:rsidTr="007110BF">
        <w:tc>
          <w:tcPr>
            <w:tcW w:w="817" w:type="dxa"/>
          </w:tcPr>
          <w:p w:rsidR="007110BF" w:rsidRPr="002F422F" w:rsidRDefault="007110BF" w:rsidP="0078697C">
            <w:pPr>
              <w:jc w:val="both"/>
            </w:pPr>
            <w:r w:rsidRPr="002F422F">
              <w:t>2</w:t>
            </w:r>
          </w:p>
        </w:tc>
        <w:tc>
          <w:tcPr>
            <w:tcW w:w="3969" w:type="dxa"/>
          </w:tcPr>
          <w:p w:rsidR="007110BF" w:rsidRPr="002F422F" w:rsidRDefault="007110BF" w:rsidP="0078697C">
            <w:pPr>
              <w:jc w:val="both"/>
            </w:pPr>
            <w:r w:rsidRPr="002F422F">
              <w:t>Vízitaxi-kikötő</w:t>
            </w:r>
          </w:p>
        </w:tc>
      </w:tr>
      <w:tr w:rsidR="007110BF" w:rsidRPr="002F422F" w:rsidTr="007110BF">
        <w:tc>
          <w:tcPr>
            <w:tcW w:w="817" w:type="dxa"/>
          </w:tcPr>
          <w:p w:rsidR="007110BF" w:rsidRPr="002F422F" w:rsidRDefault="006F4F57" w:rsidP="0078697C">
            <w:pPr>
              <w:jc w:val="both"/>
            </w:pPr>
            <w:r w:rsidRPr="002F422F">
              <w:t>2</w:t>
            </w:r>
          </w:p>
        </w:tc>
        <w:tc>
          <w:tcPr>
            <w:tcW w:w="3969" w:type="dxa"/>
          </w:tcPr>
          <w:p w:rsidR="007110BF" w:rsidRPr="002F422F" w:rsidRDefault="007110BF" w:rsidP="0078697C">
            <w:pPr>
              <w:jc w:val="both"/>
            </w:pPr>
            <w:r w:rsidRPr="002F422F">
              <w:t>Álló rendezvényhajó</w:t>
            </w:r>
          </w:p>
        </w:tc>
      </w:tr>
      <w:tr w:rsidR="007110BF" w:rsidRPr="002F422F" w:rsidTr="007110BF">
        <w:tc>
          <w:tcPr>
            <w:tcW w:w="817" w:type="dxa"/>
          </w:tcPr>
          <w:p w:rsidR="007110BF" w:rsidRPr="002F422F" w:rsidRDefault="006F4F57" w:rsidP="0078697C">
            <w:pPr>
              <w:jc w:val="both"/>
            </w:pPr>
            <w:r w:rsidRPr="002F422F">
              <w:t>3</w:t>
            </w:r>
            <w:r w:rsidR="00914C45" w:rsidRPr="002F422F">
              <w:t>,5</w:t>
            </w:r>
          </w:p>
        </w:tc>
        <w:tc>
          <w:tcPr>
            <w:tcW w:w="3969" w:type="dxa"/>
          </w:tcPr>
          <w:p w:rsidR="007110BF" w:rsidRPr="002F422F" w:rsidRDefault="007110BF" w:rsidP="00B93F27">
            <w:pPr>
              <w:jc w:val="both"/>
            </w:pPr>
            <w:r w:rsidRPr="002F422F">
              <w:t>Kabinos turistahajó-kikötő</w:t>
            </w:r>
            <w:r w:rsidR="00B93F27">
              <w:t xml:space="preserve"> (szálloda-hajó </w:t>
            </w:r>
            <w:proofErr w:type="spellStart"/>
            <w:r w:rsidR="00B93F27">
              <w:t>kökötő</w:t>
            </w:r>
            <w:proofErr w:type="spellEnd"/>
            <w:r w:rsidR="00B93F27">
              <w:t>)</w:t>
            </w:r>
          </w:p>
        </w:tc>
      </w:tr>
    </w:tbl>
    <w:p w:rsidR="00A80B6D" w:rsidRPr="002F422F" w:rsidRDefault="00A80B6D" w:rsidP="0078697C">
      <w:pPr>
        <w:jc w:val="both"/>
      </w:pPr>
    </w:p>
    <w:p w:rsidR="0078697C" w:rsidRPr="002F422F" w:rsidRDefault="007110BF" w:rsidP="0078697C">
      <w:pPr>
        <w:jc w:val="both"/>
      </w:pPr>
      <w:r w:rsidRPr="002F422F">
        <w:t>(5) Földraj</w:t>
      </w:r>
      <w:r w:rsidR="00F30FF8" w:rsidRPr="002F422F">
        <w:t>zi együttható szorzószáma (a 2.</w:t>
      </w:r>
      <w:r w:rsidRPr="002F422F">
        <w:t>§ (5) bekezdés alapján):</w:t>
      </w:r>
    </w:p>
    <w:p w:rsidR="00A80B6D" w:rsidRPr="002F422F" w:rsidRDefault="00A80B6D" w:rsidP="0078697C">
      <w:pPr>
        <w:jc w:val="both"/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969"/>
      </w:tblGrid>
      <w:tr w:rsidR="007110BF" w:rsidRPr="002F422F" w:rsidTr="007110BF">
        <w:tc>
          <w:tcPr>
            <w:tcW w:w="708" w:type="dxa"/>
          </w:tcPr>
          <w:p w:rsidR="007110BF" w:rsidRPr="002F422F" w:rsidRDefault="007110BF" w:rsidP="0078697C">
            <w:pPr>
              <w:jc w:val="both"/>
            </w:pPr>
            <w:r w:rsidRPr="002F422F">
              <w:t>Érték</w:t>
            </w:r>
          </w:p>
        </w:tc>
        <w:tc>
          <w:tcPr>
            <w:tcW w:w="3969" w:type="dxa"/>
          </w:tcPr>
          <w:p w:rsidR="007110BF" w:rsidRPr="002F422F" w:rsidRDefault="007110BF" w:rsidP="0078697C">
            <w:pPr>
              <w:jc w:val="both"/>
            </w:pPr>
          </w:p>
        </w:tc>
      </w:tr>
      <w:tr w:rsidR="007110BF" w:rsidRPr="002F422F" w:rsidTr="007110BF">
        <w:tc>
          <w:tcPr>
            <w:tcW w:w="708" w:type="dxa"/>
          </w:tcPr>
          <w:p w:rsidR="007110BF" w:rsidRPr="002F422F" w:rsidRDefault="007110BF" w:rsidP="0078697C">
            <w:pPr>
              <w:jc w:val="both"/>
            </w:pPr>
            <w:r w:rsidRPr="002F422F">
              <w:t>3</w:t>
            </w:r>
          </w:p>
        </w:tc>
        <w:tc>
          <w:tcPr>
            <w:tcW w:w="3969" w:type="dxa"/>
          </w:tcPr>
          <w:p w:rsidR="007110BF" w:rsidRPr="002F422F" w:rsidRDefault="007110BF" w:rsidP="007110BF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2F422F">
              <w:t>övezet</w:t>
            </w:r>
          </w:p>
        </w:tc>
      </w:tr>
      <w:tr w:rsidR="007110BF" w:rsidRPr="002F422F" w:rsidTr="007110BF">
        <w:tc>
          <w:tcPr>
            <w:tcW w:w="708" w:type="dxa"/>
          </w:tcPr>
          <w:p w:rsidR="007110BF" w:rsidRPr="002F422F" w:rsidRDefault="007110BF" w:rsidP="0078697C">
            <w:pPr>
              <w:jc w:val="both"/>
            </w:pPr>
            <w:r w:rsidRPr="002F422F">
              <w:t>2</w:t>
            </w:r>
          </w:p>
        </w:tc>
        <w:tc>
          <w:tcPr>
            <w:tcW w:w="3969" w:type="dxa"/>
          </w:tcPr>
          <w:p w:rsidR="007110BF" w:rsidRPr="002F422F" w:rsidRDefault="007110BF" w:rsidP="007110BF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2F422F">
              <w:t>övezet</w:t>
            </w:r>
          </w:p>
        </w:tc>
      </w:tr>
      <w:tr w:rsidR="007110BF" w:rsidRPr="002F422F" w:rsidTr="007110BF">
        <w:tc>
          <w:tcPr>
            <w:tcW w:w="708" w:type="dxa"/>
          </w:tcPr>
          <w:p w:rsidR="007110BF" w:rsidRPr="002F422F" w:rsidRDefault="007110BF" w:rsidP="0078697C">
            <w:pPr>
              <w:jc w:val="both"/>
            </w:pPr>
            <w:r w:rsidRPr="002F422F">
              <w:t>1</w:t>
            </w:r>
          </w:p>
        </w:tc>
        <w:tc>
          <w:tcPr>
            <w:tcW w:w="3969" w:type="dxa"/>
          </w:tcPr>
          <w:p w:rsidR="007110BF" w:rsidRPr="002F422F" w:rsidRDefault="007110BF" w:rsidP="007110BF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2F422F">
              <w:t>övezet</w:t>
            </w:r>
          </w:p>
        </w:tc>
      </w:tr>
    </w:tbl>
    <w:p w:rsidR="00A80B6D" w:rsidRPr="002F422F" w:rsidRDefault="00A80B6D" w:rsidP="0078697C">
      <w:pPr>
        <w:jc w:val="both"/>
      </w:pPr>
    </w:p>
    <w:p w:rsidR="007110BF" w:rsidRPr="002F422F" w:rsidRDefault="007110BF" w:rsidP="0078697C">
      <w:pPr>
        <w:jc w:val="both"/>
      </w:pPr>
      <w:r w:rsidRPr="002F422F">
        <w:t xml:space="preserve">(6) </w:t>
      </w:r>
      <w:r w:rsidR="003217D2" w:rsidRPr="002F422F">
        <w:t>Közterület-használati díjkedvezmények:</w:t>
      </w:r>
    </w:p>
    <w:p w:rsidR="003217D2" w:rsidRPr="002F422F" w:rsidRDefault="003217D2" w:rsidP="0078697C">
      <w:pPr>
        <w:jc w:val="both"/>
      </w:pPr>
      <w:proofErr w:type="gramStart"/>
      <w:r w:rsidRPr="002F422F">
        <w:t>a</w:t>
      </w:r>
      <w:proofErr w:type="gramEnd"/>
      <w:r w:rsidRPr="002F422F">
        <w:t>) A közterület-használati díj elengedhető vagy korlátlan mértékben csökkenthető, ha a közterület használatára közfeladat-ellátása céljából és köz</w:t>
      </w:r>
      <w:r w:rsidR="00E53896" w:rsidRPr="002F422F">
        <w:t>feladat</w:t>
      </w:r>
      <w:r w:rsidRPr="002F422F">
        <w:t xml:space="preserve"> ellátásához szükséges mértékben van szükség.</w:t>
      </w:r>
    </w:p>
    <w:p w:rsidR="003217D2" w:rsidRPr="002F422F" w:rsidRDefault="003217D2" w:rsidP="0078697C">
      <w:pPr>
        <w:jc w:val="both"/>
        <w:rPr>
          <w:color w:val="000000"/>
        </w:rPr>
      </w:pPr>
      <w:r w:rsidRPr="002F422F">
        <w:t xml:space="preserve">b) </w:t>
      </w:r>
      <w:proofErr w:type="gramStart"/>
      <w:r w:rsidRPr="002F422F">
        <w:t>A</w:t>
      </w:r>
      <w:proofErr w:type="gramEnd"/>
      <w:r w:rsidRPr="002F422F">
        <w:t xml:space="preserve"> közterület-használati díjak legfeljebb 90 %-kal csökkenthetők különösen indokolt esetben, egyedi elbírálás alapján.  Ez esetben figyelembe veendő szempont: </w:t>
      </w:r>
      <w:r w:rsidRPr="002F422F">
        <w:rPr>
          <w:color w:val="000000"/>
        </w:rPr>
        <w:t xml:space="preserve">a kérelmező által kért közterület-használat jelentősége, közérdekű volta, környezetterhelési mértéke, kultúrához és sporthoz való kapcsolódása, turisztikai, kereskedelmi és reklámértéke, közlekedést befolyásoló szerepe, a kérelmező szociális és anyagi helyzete, valamint amennyiben van, az adott közterület-használattal kapcsolatos korábbi tapasztalat, lakossági jelzés, továbbá rendezvények </w:t>
      </w:r>
      <w:proofErr w:type="gramStart"/>
      <w:r w:rsidRPr="002F422F">
        <w:rPr>
          <w:color w:val="000000"/>
        </w:rPr>
        <w:t>esetén</w:t>
      </w:r>
      <w:proofErr w:type="gramEnd"/>
      <w:r w:rsidRPr="002F422F">
        <w:rPr>
          <w:color w:val="000000"/>
        </w:rPr>
        <w:t xml:space="preserve"> a rendezvényen való részvétel ingyenes vagy ellenszolgáltatáshoz kötött volta.”</w:t>
      </w:r>
    </w:p>
    <w:p w:rsidR="003217D2" w:rsidRPr="002F422F" w:rsidRDefault="003217D2" w:rsidP="0078697C">
      <w:pPr>
        <w:jc w:val="both"/>
        <w:rPr>
          <w:color w:val="000000"/>
        </w:rPr>
      </w:pPr>
    </w:p>
    <w:p w:rsidR="003217D2" w:rsidRPr="002F422F" w:rsidRDefault="001D0D85" w:rsidP="003217D2">
      <w:pPr>
        <w:jc w:val="both"/>
      </w:pPr>
      <w:r w:rsidRPr="002F422F">
        <w:rPr>
          <w:b/>
        </w:rPr>
        <w:t>5</w:t>
      </w:r>
      <w:r w:rsidR="003217D2" w:rsidRPr="002F422F">
        <w:rPr>
          <w:b/>
        </w:rPr>
        <w:t>.§</w:t>
      </w:r>
      <w:r w:rsidR="002F422F">
        <w:t xml:space="preserve"> </w:t>
      </w:r>
      <w:r w:rsidR="00F30FF8" w:rsidRPr="002F422F">
        <w:t>A R. 23.</w:t>
      </w:r>
      <w:r w:rsidR="003217D2" w:rsidRPr="002F422F">
        <w:t>§ e) és f) pontja az alábbiak szerint módosul:</w:t>
      </w:r>
    </w:p>
    <w:p w:rsidR="003217D2" w:rsidRPr="002F422F" w:rsidRDefault="003217D2" w:rsidP="003217D2">
      <w:pPr>
        <w:jc w:val="both"/>
      </w:pPr>
    </w:p>
    <w:p w:rsidR="003217D2" w:rsidRPr="002F422F" w:rsidRDefault="00F30FF8" w:rsidP="003217D2">
      <w:pPr>
        <w:jc w:val="both"/>
        <w:rPr>
          <w:color w:val="000000"/>
        </w:rPr>
      </w:pPr>
      <w:r w:rsidRPr="002F422F">
        <w:t xml:space="preserve">„e) </w:t>
      </w:r>
      <w:r w:rsidR="003217D2" w:rsidRPr="002F422F">
        <w:rPr>
          <w:color w:val="000000"/>
        </w:rPr>
        <w:t xml:space="preserve">Kikötői létesítmény: az úszólétesítmények kikötésére vagy egyéb mederhasználati </w:t>
      </w:r>
      <w:proofErr w:type="spellStart"/>
      <w:r w:rsidR="003217D2" w:rsidRPr="002F422F">
        <w:rPr>
          <w:color w:val="000000"/>
        </w:rPr>
        <w:t>vízilétesítmények</w:t>
      </w:r>
      <w:proofErr w:type="spellEnd"/>
      <w:r w:rsidR="003217D2" w:rsidRPr="002F422F">
        <w:rPr>
          <w:color w:val="000000"/>
        </w:rPr>
        <w:t xml:space="preserve"> partkapcsolata részére kijelölt vagy azok részére fenntartott partterület, amely alkalmas a </w:t>
      </w:r>
      <w:proofErr w:type="spellStart"/>
      <w:r w:rsidR="003217D2" w:rsidRPr="002F422F">
        <w:rPr>
          <w:color w:val="000000"/>
        </w:rPr>
        <w:t>víziközlekedéssel</w:t>
      </w:r>
      <w:proofErr w:type="spellEnd"/>
      <w:r w:rsidR="003217D2" w:rsidRPr="002F422F">
        <w:rPr>
          <w:color w:val="000000"/>
        </w:rPr>
        <w:t>, személyek be- és kiszállításával, árukezeléssel, áruátrakással és elosztással, valamint az úszólétesítmények hajózásra alkalmasságának megőrzésével kapcsolatos tevékenység végzésére.</w:t>
      </w:r>
    </w:p>
    <w:p w:rsidR="003217D2" w:rsidRPr="002F422F" w:rsidRDefault="003217D2" w:rsidP="003217D2">
      <w:pPr>
        <w:jc w:val="both"/>
        <w:rPr>
          <w:color w:val="000000"/>
        </w:rPr>
      </w:pPr>
      <w:proofErr w:type="gramStart"/>
      <w:r w:rsidRPr="002F422F">
        <w:rPr>
          <w:color w:val="000000"/>
        </w:rPr>
        <w:t>f</w:t>
      </w:r>
      <w:proofErr w:type="gramEnd"/>
      <w:r w:rsidRPr="002F422F">
        <w:rPr>
          <w:color w:val="000000"/>
        </w:rPr>
        <w:t>) Kikötői létesítmények osztályai (a továbbiakban: kikötői osztályok):</w:t>
      </w:r>
    </w:p>
    <w:p w:rsidR="003217D2" w:rsidRPr="002F422F" w:rsidRDefault="003217D2" w:rsidP="003217D2">
      <w:pPr>
        <w:jc w:val="both"/>
        <w:rPr>
          <w:color w:val="000000"/>
        </w:rPr>
      </w:pPr>
      <w:proofErr w:type="gramStart"/>
      <w:r w:rsidRPr="002F422F">
        <w:rPr>
          <w:color w:val="000000"/>
        </w:rPr>
        <w:t>fa</w:t>
      </w:r>
      <w:proofErr w:type="gramEnd"/>
      <w:r w:rsidRPr="002F422F">
        <w:rPr>
          <w:color w:val="000000"/>
        </w:rPr>
        <w:t>) Közszolgáltatási személyhajó-kikötő: Közszolgáltatási szerződés alapján helyi, helyközi vagy révhajózási hivatásforgalmú személyszállító szolgáltatást ellátó, jellemzően menetrend szerint közlekedő motoros nagyhajók</w:t>
      </w:r>
      <w:r w:rsidR="00AB7190" w:rsidRPr="002F422F">
        <w:rPr>
          <w:color w:val="000000"/>
        </w:rPr>
        <w:t>, kompok</w:t>
      </w:r>
      <w:r w:rsidRPr="002F422F">
        <w:rPr>
          <w:color w:val="000000"/>
        </w:rPr>
        <w:t xml:space="preserve"> fogadására (</w:t>
      </w:r>
      <w:proofErr w:type="spellStart"/>
      <w:r w:rsidRPr="002F422F">
        <w:rPr>
          <w:color w:val="000000"/>
        </w:rPr>
        <w:t>utascseréjére</w:t>
      </w:r>
      <w:proofErr w:type="spellEnd"/>
      <w:r w:rsidRPr="002F422F">
        <w:rPr>
          <w:color w:val="000000"/>
        </w:rPr>
        <w:t xml:space="preserve"> és tartózkodására) szolgáló közforgalmú kikötő és kapcsolódó létesítményei.</w:t>
      </w:r>
    </w:p>
    <w:p w:rsidR="003217D2" w:rsidRPr="002F422F" w:rsidRDefault="003217D2" w:rsidP="003217D2">
      <w:pPr>
        <w:jc w:val="both"/>
        <w:rPr>
          <w:color w:val="000000"/>
        </w:rPr>
      </w:pPr>
      <w:proofErr w:type="spellStart"/>
      <w:r w:rsidRPr="002F422F">
        <w:rPr>
          <w:color w:val="000000"/>
        </w:rPr>
        <w:t>fb</w:t>
      </w:r>
      <w:proofErr w:type="spellEnd"/>
      <w:r w:rsidRPr="002F422F">
        <w:rPr>
          <w:color w:val="000000"/>
        </w:rPr>
        <w:t xml:space="preserve">) </w:t>
      </w:r>
      <w:r w:rsidRPr="002F422F">
        <w:rPr>
          <w:rStyle w:val="Kiemels"/>
          <w:color w:val="000000"/>
        </w:rPr>
        <w:t> </w:t>
      </w:r>
      <w:r w:rsidRPr="002F422F">
        <w:rPr>
          <w:color w:val="000000"/>
        </w:rPr>
        <w:t xml:space="preserve">Vízitaxi-kikötő: Vízi </w:t>
      </w:r>
      <w:proofErr w:type="spellStart"/>
      <w:r w:rsidRPr="002F422F">
        <w:rPr>
          <w:color w:val="000000"/>
        </w:rPr>
        <w:t>taxiszolgáltatás</w:t>
      </w:r>
      <w:proofErr w:type="spellEnd"/>
      <w:r w:rsidRPr="002F422F">
        <w:rPr>
          <w:color w:val="000000"/>
        </w:rPr>
        <w:t xml:space="preserve"> keretében működő, személyszállító szolgáltatást ellátó motoros kishajók fogadására (</w:t>
      </w:r>
      <w:proofErr w:type="spellStart"/>
      <w:r w:rsidRPr="002F422F">
        <w:rPr>
          <w:color w:val="000000"/>
        </w:rPr>
        <w:t>utascseréjére</w:t>
      </w:r>
      <w:proofErr w:type="spellEnd"/>
      <w:r w:rsidRPr="002F422F">
        <w:rPr>
          <w:color w:val="000000"/>
        </w:rPr>
        <w:t xml:space="preserve"> és tartózkodására) szolgáló közforgalmú kikötő és kapcsolódó létesítményei.</w:t>
      </w:r>
    </w:p>
    <w:p w:rsidR="003217D2" w:rsidRPr="002F422F" w:rsidRDefault="003217D2" w:rsidP="003217D2">
      <w:pPr>
        <w:jc w:val="both"/>
        <w:rPr>
          <w:color w:val="000000"/>
        </w:rPr>
      </w:pPr>
      <w:proofErr w:type="spellStart"/>
      <w:r w:rsidRPr="002F422F">
        <w:rPr>
          <w:color w:val="000000"/>
        </w:rPr>
        <w:t>fc</w:t>
      </w:r>
      <w:proofErr w:type="spellEnd"/>
      <w:r w:rsidRPr="002F422F">
        <w:rPr>
          <w:color w:val="000000"/>
        </w:rPr>
        <w:t>) Kabinos turistahajó-kikötő: Szálláshely-szolgáltatást nyújtó, idegenforgalmi céllal közlekedő személyszállító motoros nagyhajók fogadására (</w:t>
      </w:r>
      <w:proofErr w:type="spellStart"/>
      <w:r w:rsidRPr="002F422F">
        <w:rPr>
          <w:color w:val="000000"/>
        </w:rPr>
        <w:t>utascseréjére</w:t>
      </w:r>
      <w:proofErr w:type="spellEnd"/>
      <w:r w:rsidRPr="002F422F">
        <w:rPr>
          <w:color w:val="000000"/>
        </w:rPr>
        <w:t xml:space="preserve"> és tartózkodására) alkalmas közforgalmú kikötő és kapcsolódó létesítményei.</w:t>
      </w:r>
    </w:p>
    <w:p w:rsidR="003217D2" w:rsidRPr="002F422F" w:rsidRDefault="003217D2" w:rsidP="003217D2">
      <w:pPr>
        <w:jc w:val="both"/>
        <w:rPr>
          <w:color w:val="000000"/>
        </w:rPr>
      </w:pPr>
      <w:proofErr w:type="spellStart"/>
      <w:r w:rsidRPr="002F422F">
        <w:rPr>
          <w:color w:val="000000"/>
        </w:rPr>
        <w:t>fd</w:t>
      </w:r>
      <w:proofErr w:type="spellEnd"/>
      <w:r w:rsidRPr="002F422F">
        <w:rPr>
          <w:color w:val="000000"/>
        </w:rPr>
        <w:t>) Motoros kishajó-kikötő: Kedvtelési és sportcélú motoros kishajók</w:t>
      </w:r>
      <w:r w:rsidR="007C285D" w:rsidRPr="002F422F">
        <w:rPr>
          <w:color w:val="000000"/>
        </w:rPr>
        <w:t xml:space="preserve"> (20 métert meg nem </w:t>
      </w:r>
      <w:proofErr w:type="gramStart"/>
      <w:r w:rsidR="007C285D" w:rsidRPr="002F422F">
        <w:rPr>
          <w:color w:val="000000"/>
        </w:rPr>
        <w:t>haladó  hajótestű</w:t>
      </w:r>
      <w:proofErr w:type="gramEnd"/>
      <w:r w:rsidR="007C285D" w:rsidRPr="002F422F">
        <w:rPr>
          <w:color w:val="000000"/>
        </w:rPr>
        <w:t xml:space="preserve">) </w:t>
      </w:r>
      <w:r w:rsidR="00226AD9" w:rsidRPr="002F422F">
        <w:rPr>
          <w:color w:val="000000"/>
        </w:rPr>
        <w:t xml:space="preserve"> </w:t>
      </w:r>
      <w:proofErr w:type="spellStart"/>
      <w:r w:rsidRPr="002F422F">
        <w:rPr>
          <w:color w:val="000000"/>
        </w:rPr>
        <w:t>utascseréjére</w:t>
      </w:r>
      <w:proofErr w:type="spellEnd"/>
      <w:r w:rsidRPr="002F422F">
        <w:rPr>
          <w:color w:val="000000"/>
        </w:rPr>
        <w:t xml:space="preserve">, </w:t>
      </w:r>
      <w:r w:rsidR="00AB7190" w:rsidRPr="002F422F">
        <w:rPr>
          <w:color w:val="000000"/>
        </w:rPr>
        <w:t xml:space="preserve">rövid idejű vagy </w:t>
      </w:r>
      <w:r w:rsidRPr="002F422F">
        <w:rPr>
          <w:color w:val="000000"/>
        </w:rPr>
        <w:t>huzamosabb tartózkodására, karbantartására és tárolására szolgáló közforgalmú kikötő és kapcsolódó létesítményei.</w:t>
      </w:r>
    </w:p>
    <w:p w:rsidR="003217D2" w:rsidRPr="002F422F" w:rsidRDefault="003217D2" w:rsidP="003217D2">
      <w:pPr>
        <w:jc w:val="both"/>
        <w:rPr>
          <w:color w:val="000000"/>
        </w:rPr>
      </w:pPr>
      <w:proofErr w:type="spellStart"/>
      <w:r w:rsidRPr="002F422F">
        <w:rPr>
          <w:color w:val="000000"/>
        </w:rPr>
        <w:t>fe</w:t>
      </w:r>
      <w:proofErr w:type="spellEnd"/>
      <w:r w:rsidRPr="002F422F">
        <w:rPr>
          <w:color w:val="000000"/>
        </w:rPr>
        <w:t xml:space="preserve">) </w:t>
      </w:r>
      <w:r w:rsidR="00A80B6D" w:rsidRPr="002F422F">
        <w:rPr>
          <w:color w:val="000000"/>
        </w:rPr>
        <w:t xml:space="preserve">Csónakkikötő: Kedvtelési és sportcélú, emberi erővel hajtott </w:t>
      </w:r>
      <w:proofErr w:type="spellStart"/>
      <w:r w:rsidR="00A80B6D" w:rsidRPr="002F422F">
        <w:rPr>
          <w:color w:val="000000"/>
        </w:rPr>
        <w:t>vízijárművek</w:t>
      </w:r>
      <w:proofErr w:type="spellEnd"/>
      <w:r w:rsidR="00A80B6D" w:rsidRPr="002F422F">
        <w:rPr>
          <w:color w:val="000000"/>
        </w:rPr>
        <w:t xml:space="preserve"> fogadására (</w:t>
      </w:r>
      <w:proofErr w:type="spellStart"/>
      <w:r w:rsidR="00A80B6D" w:rsidRPr="002F422F">
        <w:rPr>
          <w:color w:val="000000"/>
        </w:rPr>
        <w:t>utascseréjére</w:t>
      </w:r>
      <w:proofErr w:type="spellEnd"/>
      <w:r w:rsidR="00A80B6D" w:rsidRPr="002F422F">
        <w:rPr>
          <w:color w:val="000000"/>
        </w:rPr>
        <w:t xml:space="preserve">, </w:t>
      </w:r>
      <w:r w:rsidR="00AB7190" w:rsidRPr="002F422F">
        <w:rPr>
          <w:color w:val="000000"/>
        </w:rPr>
        <w:t xml:space="preserve">rövid idejű vagy </w:t>
      </w:r>
      <w:r w:rsidR="00A80B6D" w:rsidRPr="002F422F">
        <w:rPr>
          <w:color w:val="000000"/>
        </w:rPr>
        <w:t>huzamosabb tartózkodására, karbantartására és tárolására) szolgáló létesítmény.</w:t>
      </w:r>
    </w:p>
    <w:p w:rsidR="00A80B6D" w:rsidRPr="002F422F" w:rsidRDefault="00A80B6D" w:rsidP="003217D2">
      <w:pPr>
        <w:jc w:val="both"/>
        <w:rPr>
          <w:color w:val="000000"/>
        </w:rPr>
      </w:pPr>
      <w:proofErr w:type="gramStart"/>
      <w:r w:rsidRPr="002F422F">
        <w:rPr>
          <w:color w:val="000000"/>
        </w:rPr>
        <w:lastRenderedPageBreak/>
        <w:t>ff</w:t>
      </w:r>
      <w:proofErr w:type="gramEnd"/>
      <w:r w:rsidRPr="002F422F">
        <w:rPr>
          <w:color w:val="000000"/>
        </w:rPr>
        <w:t>) Álló rendezvényhajó: Vendéglátó- és szórakozóhelyként működő állóhajó, közönségforgalmi célú úszólétesítmény kikötője</w:t>
      </w:r>
      <w:r w:rsidR="00AB7190" w:rsidRPr="002F422F">
        <w:rPr>
          <w:color w:val="000000"/>
        </w:rPr>
        <w:t>.</w:t>
      </w:r>
    </w:p>
    <w:p w:rsidR="00F02F6D" w:rsidRPr="002F422F" w:rsidRDefault="00F02F6D" w:rsidP="003217D2">
      <w:pPr>
        <w:jc w:val="both"/>
      </w:pPr>
      <w:proofErr w:type="spellStart"/>
      <w:r w:rsidRPr="002F422F">
        <w:rPr>
          <w:color w:val="000000"/>
        </w:rPr>
        <w:t>fg</w:t>
      </w:r>
      <w:proofErr w:type="spellEnd"/>
      <w:r w:rsidRPr="002F422F">
        <w:rPr>
          <w:color w:val="000000"/>
        </w:rPr>
        <w:t>) Szabadidős motoros vízi jármű-kikötő: 4 méternél nem hosszabb motoros vízi jármű kikötésére (</w:t>
      </w:r>
      <w:proofErr w:type="spellStart"/>
      <w:r w:rsidRPr="002F422F">
        <w:rPr>
          <w:color w:val="000000"/>
        </w:rPr>
        <w:t>utascseréjére</w:t>
      </w:r>
      <w:proofErr w:type="spellEnd"/>
      <w:r w:rsidRPr="002F422F">
        <w:rPr>
          <w:color w:val="000000"/>
        </w:rPr>
        <w:t>, tartózkodására) szolgáló létesítmény</w:t>
      </w:r>
      <w:r w:rsidR="00F30FF8" w:rsidRPr="002F422F">
        <w:rPr>
          <w:color w:val="000000"/>
        </w:rPr>
        <w:t>”</w:t>
      </w:r>
    </w:p>
    <w:p w:rsidR="007110BF" w:rsidRPr="002F422F" w:rsidRDefault="007110BF" w:rsidP="0078697C">
      <w:pPr>
        <w:jc w:val="both"/>
      </w:pPr>
    </w:p>
    <w:p w:rsidR="007110BF" w:rsidRPr="002F422F" w:rsidRDefault="001D0D85" w:rsidP="00A80B6D">
      <w:pPr>
        <w:jc w:val="both"/>
      </w:pPr>
      <w:r w:rsidRPr="002F422F">
        <w:rPr>
          <w:b/>
        </w:rPr>
        <w:t>6</w:t>
      </w:r>
      <w:r w:rsidR="00A80B6D" w:rsidRPr="002F422F">
        <w:rPr>
          <w:b/>
        </w:rPr>
        <w:t>.§</w:t>
      </w:r>
      <w:r w:rsidR="00A80B6D" w:rsidRPr="002F422F">
        <w:t xml:space="preserve"> A R. 1. mellékletének helyébe az alábbi melléklet lép:</w:t>
      </w:r>
    </w:p>
    <w:p w:rsidR="00A80B6D" w:rsidRPr="002F422F" w:rsidRDefault="00A80B6D" w:rsidP="00A80B6D">
      <w:pPr>
        <w:jc w:val="both"/>
      </w:pPr>
    </w:p>
    <w:p w:rsidR="00A80B6D" w:rsidRPr="002F422F" w:rsidRDefault="00F30FF8" w:rsidP="00F30FF8">
      <w:pPr>
        <w:ind w:left="360"/>
        <w:jc w:val="center"/>
        <w:rPr>
          <w:b/>
        </w:rPr>
      </w:pPr>
      <w:r w:rsidRPr="002F422F">
        <w:rPr>
          <w:b/>
        </w:rPr>
        <w:t>„1. m</w:t>
      </w:r>
      <w:r w:rsidR="00A80B6D" w:rsidRPr="002F422F">
        <w:rPr>
          <w:b/>
        </w:rPr>
        <w:t>elléklet</w:t>
      </w:r>
    </w:p>
    <w:p w:rsidR="00A80B6D" w:rsidRPr="002F422F" w:rsidRDefault="00A80B6D" w:rsidP="00A80B6D">
      <w:pPr>
        <w:pStyle w:val="Listaszerbekezds"/>
        <w:jc w:val="both"/>
      </w:pPr>
    </w:p>
    <w:p w:rsidR="00A80B6D" w:rsidRPr="002F422F" w:rsidRDefault="00A80B6D" w:rsidP="00A80B6D">
      <w:pPr>
        <w:jc w:val="center"/>
        <w:rPr>
          <w:b/>
          <w:bCs/>
        </w:rPr>
      </w:pPr>
      <w:r w:rsidRPr="002F422F">
        <w:rPr>
          <w:b/>
          <w:bCs/>
        </w:rPr>
        <w:t>2017. évi közterület-használati díjak</w:t>
      </w:r>
    </w:p>
    <w:p w:rsidR="00A80B6D" w:rsidRPr="002F422F" w:rsidRDefault="00A80B6D" w:rsidP="00A80B6D"/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1134"/>
        <w:gridCol w:w="2410"/>
      </w:tblGrid>
      <w:tr w:rsidR="00A80B6D" w:rsidRPr="002F422F" w:rsidTr="007312D0">
        <w:tc>
          <w:tcPr>
            <w:tcW w:w="8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center"/>
            </w:pPr>
            <w:r w:rsidRPr="002F422F">
              <w:t>                                                     Övezeti bruttó díjak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center"/>
            </w:pPr>
            <w:r w:rsidRPr="002F422F">
              <w:t>Közterület használat célja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center"/>
            </w:pPr>
            <w:r w:rsidRPr="002F422F">
              <w:t>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center"/>
            </w:pPr>
            <w:r w:rsidRPr="002F422F">
              <w:t>II.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center"/>
            </w:pPr>
            <w:r w:rsidRPr="002F422F">
              <w:t>III.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Hirdető-berendezés, fényreklám, kirakatszekrény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1340 Ft/m</w:t>
            </w:r>
            <w:r w:rsidRPr="002F422F">
              <w:rPr>
                <w:vertAlign w:val="superscript"/>
              </w:rPr>
              <w:t>2</w:t>
            </w:r>
            <w:r w:rsidRPr="002F422F">
              <w:t>/hó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roofErr w:type="spellStart"/>
            <w:r w:rsidRPr="002F422F">
              <w:t>Megállítótábla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8277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5525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 xml:space="preserve">5525 Ft/db/hó 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Transzparens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875 Ft/m</w:t>
            </w:r>
            <w:r w:rsidRPr="002F422F">
              <w:rPr>
                <w:vertAlign w:val="superscript"/>
              </w:rPr>
              <w:t>2</w:t>
            </w:r>
            <w:r w:rsidRPr="002F422F">
              <w:t>/nap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 xml:space="preserve">Közterületen lévő műtárgyakon elhelyezett hirdetés, </w:t>
            </w:r>
            <w:proofErr w:type="spellStart"/>
            <w:r w:rsidRPr="002F422F">
              <w:t>átfeszítőkötél</w:t>
            </w:r>
            <w:proofErr w:type="spellEnd"/>
            <w:r w:rsidRPr="002F422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24660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24660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24660 Ft/m</w:t>
            </w:r>
            <w:r w:rsidRPr="002F422F">
              <w:rPr>
                <w:vertAlign w:val="superscript"/>
              </w:rPr>
              <w:t>2</w:t>
            </w:r>
            <w:r w:rsidRPr="002F422F">
              <w:t>/hó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center"/>
            </w:pPr>
            <w:r w:rsidRPr="002F422F">
              <w:t>Mutatványos tevékenység, cirkusz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100 Ft/m</w:t>
            </w:r>
            <w:r w:rsidRPr="002F422F">
              <w:rPr>
                <w:vertAlign w:val="superscript"/>
              </w:rPr>
              <w:t>2</w:t>
            </w:r>
            <w:r w:rsidRPr="002F422F">
              <w:t>/nap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Árusító vagy hirdető pavilon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1095 Ft/m</w:t>
            </w:r>
            <w:r w:rsidRPr="002F422F">
              <w:rPr>
                <w:vertAlign w:val="superscript"/>
              </w:rPr>
              <w:t>2</w:t>
            </w:r>
            <w:r w:rsidRPr="002F422F">
              <w:t>/hó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 xml:space="preserve">Elárusító és </w:t>
            </w:r>
            <w:proofErr w:type="spellStart"/>
            <w:r w:rsidRPr="002F422F">
              <w:t>büfékocsi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226 Ft/m</w:t>
            </w:r>
            <w:r w:rsidRPr="002F422F">
              <w:rPr>
                <w:vertAlign w:val="superscript"/>
              </w:rPr>
              <w:t>2</w:t>
            </w:r>
            <w:r w:rsidRPr="002F422F">
              <w:t>/nap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Vendéglátó ipari előkert</w:t>
            </w:r>
          </w:p>
          <w:p w:rsidR="00A80B6D" w:rsidRPr="002F422F" w:rsidRDefault="00A80B6D" w:rsidP="007312D0">
            <w:r w:rsidRPr="002F422F">
              <w:t>- napidíj április 1-től-október 31-ig</w:t>
            </w:r>
          </w:p>
          <w:p w:rsidR="00A80B6D" w:rsidRPr="002F422F" w:rsidRDefault="00A80B6D" w:rsidP="007312D0">
            <w:r w:rsidRPr="002F422F">
              <w:t>- a rendelet 14.§.</w:t>
            </w:r>
            <w:proofErr w:type="spellStart"/>
            <w:r w:rsidRPr="002F422F">
              <w:t>-ában</w:t>
            </w:r>
            <w:proofErr w:type="spellEnd"/>
            <w:r w:rsidRPr="002F422F">
              <w:t xml:space="preserve"> meghatározott</w:t>
            </w:r>
          </w:p>
          <w:p w:rsidR="00A80B6D" w:rsidRPr="002F422F" w:rsidRDefault="00A80B6D" w:rsidP="007312D0">
            <w:r w:rsidRPr="002F422F">
              <w:t>  kedvezmény alapjául szolgáló havidíj</w:t>
            </w:r>
          </w:p>
          <w:p w:rsidR="00A80B6D" w:rsidRPr="002F422F" w:rsidRDefault="00A80B6D" w:rsidP="007312D0">
            <w:r w:rsidRPr="002F422F">
              <w:t xml:space="preserve">- Tárolási díj november 1-től március    </w:t>
            </w:r>
          </w:p>
          <w:p w:rsidR="00A80B6D" w:rsidRPr="002F422F" w:rsidRDefault="00A80B6D" w:rsidP="007312D0">
            <w:r w:rsidRPr="002F422F">
              <w:t xml:space="preserve">  31-ig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</w:p>
          <w:p w:rsidR="00A80B6D" w:rsidRPr="002F422F" w:rsidRDefault="00A80B6D" w:rsidP="007312D0">
            <w:pPr>
              <w:jc w:val="right"/>
            </w:pPr>
            <w:r w:rsidRPr="002F422F">
              <w:t>72</w:t>
            </w:r>
          </w:p>
          <w:p w:rsidR="00A80B6D" w:rsidRPr="002F422F" w:rsidRDefault="00A80B6D" w:rsidP="007312D0">
            <w:pPr>
              <w:jc w:val="right"/>
            </w:pPr>
          </w:p>
          <w:p w:rsidR="00A80B6D" w:rsidRPr="002F422F" w:rsidRDefault="00A80B6D" w:rsidP="007312D0">
            <w:pPr>
              <w:jc w:val="right"/>
            </w:pPr>
            <w:r w:rsidRPr="002F422F">
              <w:t>2055</w:t>
            </w:r>
          </w:p>
          <w:p w:rsidR="00A80B6D" w:rsidRPr="002F422F" w:rsidRDefault="00A80B6D" w:rsidP="007312D0">
            <w:pPr>
              <w:jc w:val="right"/>
            </w:pPr>
          </w:p>
          <w:p w:rsidR="00A80B6D" w:rsidRPr="002F422F" w:rsidRDefault="00A80B6D" w:rsidP="007312D0">
            <w:pPr>
              <w:jc w:val="right"/>
            </w:pPr>
            <w:r w:rsidRPr="002F422F">
              <w:t>18700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</w:p>
          <w:p w:rsidR="00A80B6D" w:rsidRPr="002F422F" w:rsidRDefault="00A80B6D" w:rsidP="007312D0">
            <w:pPr>
              <w:jc w:val="right"/>
            </w:pPr>
            <w:r w:rsidRPr="002F422F">
              <w:t>60</w:t>
            </w:r>
          </w:p>
          <w:p w:rsidR="00A80B6D" w:rsidRPr="002F422F" w:rsidRDefault="00A80B6D" w:rsidP="007312D0">
            <w:pPr>
              <w:jc w:val="right"/>
            </w:pPr>
          </w:p>
          <w:p w:rsidR="00A80B6D" w:rsidRPr="002F422F" w:rsidRDefault="00A80B6D" w:rsidP="007312D0">
            <w:pPr>
              <w:jc w:val="right"/>
            </w:pPr>
            <w:r w:rsidRPr="002F422F">
              <w:t>1630</w:t>
            </w:r>
          </w:p>
          <w:p w:rsidR="00A80B6D" w:rsidRPr="002F422F" w:rsidRDefault="00A80B6D" w:rsidP="007312D0">
            <w:pPr>
              <w:jc w:val="right"/>
            </w:pPr>
          </w:p>
          <w:p w:rsidR="00A80B6D" w:rsidRPr="002F422F" w:rsidRDefault="00A80B6D" w:rsidP="007312D0">
            <w:pPr>
              <w:jc w:val="right"/>
            </w:pPr>
            <w:r w:rsidRPr="002F422F">
              <w:t>18700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</w:p>
          <w:p w:rsidR="00A80B6D" w:rsidRPr="002F422F" w:rsidRDefault="00A80B6D" w:rsidP="007312D0">
            <w:pPr>
              <w:jc w:val="right"/>
            </w:pPr>
            <w:r w:rsidRPr="002F422F">
              <w:t>47 Ft/m</w:t>
            </w:r>
            <w:r w:rsidRPr="002F422F">
              <w:rPr>
                <w:vertAlign w:val="superscript"/>
              </w:rPr>
              <w:t>2</w:t>
            </w:r>
            <w:r w:rsidRPr="002F422F">
              <w:t>/nap</w:t>
            </w:r>
          </w:p>
          <w:p w:rsidR="00A80B6D" w:rsidRPr="002F422F" w:rsidRDefault="00A80B6D" w:rsidP="007312D0">
            <w:pPr>
              <w:jc w:val="right"/>
            </w:pPr>
          </w:p>
          <w:p w:rsidR="00A80B6D" w:rsidRPr="002F422F" w:rsidRDefault="00A80B6D" w:rsidP="007312D0">
            <w:pPr>
              <w:jc w:val="right"/>
            </w:pPr>
            <w:r w:rsidRPr="002F422F">
              <w:t>1240 Ft/</w:t>
            </w:r>
            <w:r w:rsidR="00415C62" w:rsidRPr="002F422F">
              <w:t xml:space="preserve"> m</w:t>
            </w:r>
            <w:r w:rsidR="00415C62" w:rsidRPr="002F422F">
              <w:rPr>
                <w:vertAlign w:val="superscript"/>
              </w:rPr>
              <w:t>2</w:t>
            </w:r>
            <w:r w:rsidRPr="002F422F">
              <w:t>/hó</w:t>
            </w:r>
          </w:p>
          <w:p w:rsidR="00A80B6D" w:rsidRPr="002F422F" w:rsidRDefault="00A80B6D" w:rsidP="007312D0">
            <w:r w:rsidRPr="002F422F">
              <w:t xml:space="preserve">                </w:t>
            </w:r>
          </w:p>
          <w:p w:rsidR="00A80B6D" w:rsidRPr="002F422F" w:rsidRDefault="00A80B6D" w:rsidP="007312D0">
            <w:r w:rsidRPr="002F422F">
              <w:t xml:space="preserve">               18700 Ft/db/hó  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Saját üzlet előtti alkalmi kitelepülés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center"/>
            </w:pPr>
            <w:r w:rsidRPr="002F422F">
              <w:t>                  145 Ft/m</w:t>
            </w:r>
            <w:r w:rsidRPr="002F422F">
              <w:rPr>
                <w:vertAlign w:val="superscript"/>
              </w:rPr>
              <w:t>2</w:t>
            </w:r>
            <w:r w:rsidRPr="002F422F">
              <w:t>/nap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Vállalkozók, őstermelők alkalmi kitelepülése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457 Ft/m</w:t>
            </w:r>
            <w:r w:rsidRPr="002F422F">
              <w:rPr>
                <w:vertAlign w:val="superscript"/>
              </w:rPr>
              <w:t>2</w:t>
            </w:r>
            <w:r w:rsidRPr="002F422F">
              <w:t>/nap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Postai előgyűjtő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22158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11063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 xml:space="preserve">7189 Ft/db/év 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Árusító automata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15008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11063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 xml:space="preserve">7189 Ft/db/hó </w:t>
            </w:r>
          </w:p>
        </w:tc>
      </w:tr>
      <w:tr w:rsidR="00A80B6D" w:rsidRPr="002F422F" w:rsidTr="007312D0">
        <w:trPr>
          <w:trHeight w:val="506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Építési munkával kapcsolatos állvány, építési anyagtörmelék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391 Ft/m</w:t>
            </w:r>
            <w:r w:rsidRPr="002F422F">
              <w:rPr>
                <w:vertAlign w:val="superscript"/>
              </w:rPr>
              <w:t>2</w:t>
            </w:r>
            <w:r w:rsidRPr="002F422F">
              <w:t>/hó</w:t>
            </w:r>
          </w:p>
        </w:tc>
      </w:tr>
      <w:tr w:rsidR="00E56524" w:rsidRPr="002F422F" w:rsidTr="00037827">
        <w:trPr>
          <w:trHeight w:val="364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524" w:rsidRPr="002F422F" w:rsidRDefault="00E56524" w:rsidP="007312D0">
            <w:r w:rsidRPr="002F422F">
              <w:t>Kikötői létesítmény</w:t>
            </w:r>
            <w:r w:rsidR="00DC28DC" w:rsidRPr="002F422F">
              <w:t>ek kikötői alapdíja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524" w:rsidRPr="002F422F" w:rsidRDefault="00E56524" w:rsidP="00E56524">
            <w:pPr>
              <w:jc w:val="center"/>
            </w:pPr>
            <w:r w:rsidRPr="002F422F">
              <w:t>150,</w:t>
            </w:r>
            <w:proofErr w:type="spellStart"/>
            <w:r w:rsidRPr="002F422F">
              <w:t>-Ft</w:t>
            </w:r>
            <w:proofErr w:type="spellEnd"/>
            <w:r w:rsidRPr="002F422F">
              <w:t>/hó/</w:t>
            </w:r>
            <w:proofErr w:type="spellStart"/>
            <w:r w:rsidRPr="002F422F">
              <w:t>fm</w:t>
            </w:r>
            <w:proofErr w:type="spellEnd"/>
          </w:p>
          <w:p w:rsidR="003604C6" w:rsidRPr="002F422F" w:rsidRDefault="003604C6" w:rsidP="00E56524">
            <w:pPr>
              <w:jc w:val="center"/>
            </w:pPr>
            <w:r w:rsidRPr="002F422F">
              <w:t>A díjazást 2018. január 1-jétől kell alkalmazni.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Taxik állomáshelye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37127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37127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37127 Ft/db/év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Személygépkocsi-parkolóhely bérlet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37127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37127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37127 Ft/db/év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Reklámhordozó kerékpár-tároló hirdetési felülete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85 Ft/m</w:t>
            </w:r>
            <w:r w:rsidRPr="002F422F">
              <w:rPr>
                <w:vertAlign w:val="superscript"/>
              </w:rPr>
              <w:t>2</w:t>
            </w:r>
            <w:r w:rsidRPr="002F422F">
              <w:t>/hó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Reklámhordozó céllal elhelyezett jármű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1379 Ft/m</w:t>
            </w:r>
            <w:r w:rsidRPr="002F422F">
              <w:rPr>
                <w:vertAlign w:val="superscript"/>
              </w:rPr>
              <w:t>2</w:t>
            </w:r>
            <w:r w:rsidRPr="002F422F">
              <w:t>/nap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Üzleti védőtető, előtető, napvédő ponyva reklámmal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41 Ft/m</w:t>
            </w:r>
            <w:r w:rsidRPr="002F422F">
              <w:rPr>
                <w:vertAlign w:val="superscript"/>
              </w:rPr>
              <w:t>2</w:t>
            </w:r>
            <w:r w:rsidRPr="002F422F">
              <w:t>/hó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Aláírásgyűjtés, közvélemény kutatás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297 Ft/m</w:t>
            </w:r>
            <w:r w:rsidRPr="002F422F">
              <w:rPr>
                <w:vertAlign w:val="superscript"/>
              </w:rPr>
              <w:t>2</w:t>
            </w:r>
            <w:r w:rsidRPr="002F422F">
              <w:t xml:space="preserve">/nap 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>Tüzelőanyag ideiglenes tárolás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1379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right"/>
            </w:pPr>
            <w:r w:rsidRPr="002F422F">
              <w:t>842 Ft/m</w:t>
            </w:r>
            <w:r w:rsidRPr="002F422F">
              <w:rPr>
                <w:vertAlign w:val="superscript"/>
              </w:rPr>
              <w:t>2</w:t>
            </w:r>
            <w:r w:rsidRPr="002F422F">
              <w:t>/nap</w:t>
            </w:r>
          </w:p>
        </w:tc>
      </w:tr>
      <w:tr w:rsidR="00A80B6D" w:rsidRPr="002F422F" w:rsidTr="007312D0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r w:rsidRPr="002F422F">
              <w:t xml:space="preserve">Egyéb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B6D" w:rsidRPr="002F422F" w:rsidRDefault="00A80B6D" w:rsidP="007312D0">
            <w:pPr>
              <w:jc w:val="center"/>
            </w:pPr>
            <w:r w:rsidRPr="002F422F">
              <w:t>egyedi elbírálás alapján</w:t>
            </w:r>
          </w:p>
        </w:tc>
      </w:tr>
    </w:tbl>
    <w:p w:rsidR="00A80B6D" w:rsidRPr="002F422F" w:rsidRDefault="00A80B6D" w:rsidP="00A80B6D">
      <w:pPr>
        <w:jc w:val="both"/>
      </w:pPr>
    </w:p>
    <w:p w:rsidR="00A80B6D" w:rsidRPr="002F422F" w:rsidRDefault="001D0D85" w:rsidP="00A80B6D">
      <w:pPr>
        <w:jc w:val="both"/>
      </w:pPr>
      <w:r w:rsidRPr="002F422F">
        <w:rPr>
          <w:b/>
        </w:rPr>
        <w:t>7</w:t>
      </w:r>
      <w:r w:rsidR="00E56524" w:rsidRPr="002F422F">
        <w:rPr>
          <w:b/>
        </w:rPr>
        <w:t>.§</w:t>
      </w:r>
      <w:r w:rsidR="00E56524" w:rsidRPr="002F422F">
        <w:t xml:space="preserve"> A R. </w:t>
      </w:r>
      <w:proofErr w:type="gramStart"/>
      <w:r w:rsidR="00E56524" w:rsidRPr="002F422F">
        <w:t>az</w:t>
      </w:r>
      <w:proofErr w:type="gramEnd"/>
      <w:r w:rsidR="00E56524" w:rsidRPr="002F422F">
        <w:t xml:space="preserve"> alábbi, 6. számú melléklettel egészül ki:</w:t>
      </w:r>
    </w:p>
    <w:p w:rsidR="00F30FF8" w:rsidRPr="002F422F" w:rsidRDefault="00F30FF8" w:rsidP="00A80B6D">
      <w:pPr>
        <w:jc w:val="both"/>
      </w:pPr>
    </w:p>
    <w:p w:rsidR="00F30FF8" w:rsidRPr="002F422F" w:rsidRDefault="00F30FF8" w:rsidP="00F30FF8">
      <w:pPr>
        <w:jc w:val="center"/>
        <w:rPr>
          <w:b/>
        </w:rPr>
      </w:pPr>
      <w:r w:rsidRPr="002F422F">
        <w:rPr>
          <w:b/>
        </w:rPr>
        <w:t>„6. melléklet</w:t>
      </w:r>
    </w:p>
    <w:p w:rsidR="00486941" w:rsidRPr="002F422F" w:rsidRDefault="00486941" w:rsidP="00A80B6D">
      <w:pPr>
        <w:jc w:val="both"/>
      </w:pPr>
    </w:p>
    <w:p w:rsidR="00E56524" w:rsidRPr="002F422F" w:rsidRDefault="00E56524" w:rsidP="00A80B6D">
      <w:pPr>
        <w:jc w:val="both"/>
      </w:pPr>
    </w:p>
    <w:p w:rsidR="007110BF" w:rsidRDefault="007110B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Default="002F422F" w:rsidP="0078697C">
      <w:pPr>
        <w:jc w:val="both"/>
      </w:pPr>
    </w:p>
    <w:p w:rsidR="002F422F" w:rsidRPr="002F422F" w:rsidRDefault="002F422F" w:rsidP="0078697C">
      <w:pPr>
        <w:jc w:val="both"/>
      </w:pPr>
    </w:p>
    <w:p w:rsidR="0078697C" w:rsidRPr="002F422F" w:rsidRDefault="001D0D85" w:rsidP="00F30FF8">
      <w:pPr>
        <w:tabs>
          <w:tab w:val="left" w:pos="2700"/>
          <w:tab w:val="center" w:pos="3060"/>
          <w:tab w:val="left" w:pos="4500"/>
          <w:tab w:val="left" w:pos="4680"/>
          <w:tab w:val="left" w:pos="5760"/>
          <w:tab w:val="left" w:pos="5940"/>
          <w:tab w:val="left" w:pos="7740"/>
        </w:tabs>
        <w:autoSpaceDE w:val="0"/>
        <w:autoSpaceDN w:val="0"/>
        <w:adjustRightInd w:val="0"/>
        <w:jc w:val="both"/>
      </w:pPr>
      <w:r w:rsidRPr="002F422F">
        <w:rPr>
          <w:b/>
        </w:rPr>
        <w:lastRenderedPageBreak/>
        <w:t>8</w:t>
      </w:r>
      <w:r w:rsidR="0078697C" w:rsidRPr="002F422F">
        <w:rPr>
          <w:b/>
        </w:rPr>
        <w:t>.§</w:t>
      </w:r>
      <w:r w:rsidR="0078697C" w:rsidRPr="002F422F">
        <w:t xml:space="preserve"> </w:t>
      </w:r>
      <w:r w:rsidR="00417838">
        <w:t xml:space="preserve">(1) Jelen rendelet a kihirdetését követő </w:t>
      </w:r>
      <w:r w:rsidR="0078697C" w:rsidRPr="002F422F">
        <w:t>napj</w:t>
      </w:r>
      <w:r w:rsidR="00417838">
        <w:t>o</w:t>
      </w:r>
      <w:r w:rsidR="0078697C" w:rsidRPr="002F422F">
        <w:t>n lép hatályba, rendelkezéseit 201</w:t>
      </w:r>
      <w:r w:rsidR="00DC28DC" w:rsidRPr="002F422F">
        <w:t>7</w:t>
      </w:r>
      <w:r w:rsidR="00AD186F" w:rsidRPr="002F422F">
        <w:t xml:space="preserve">. </w:t>
      </w:r>
      <w:r w:rsidR="003604C6" w:rsidRPr="002F422F">
        <w:t xml:space="preserve">október 1-jétől kell </w:t>
      </w:r>
      <w:r w:rsidR="0078697C" w:rsidRPr="002F422F">
        <w:t>alkalmazni</w:t>
      </w:r>
      <w:r w:rsidR="003604C6" w:rsidRPr="002F422F">
        <w:t xml:space="preserve"> az 1.</w:t>
      </w:r>
      <w:r w:rsidR="00F30FF8" w:rsidRPr="002F422F">
        <w:t xml:space="preserve"> </w:t>
      </w:r>
      <w:r w:rsidR="003604C6" w:rsidRPr="002F422F">
        <w:t xml:space="preserve">melléklet „Kikötői </w:t>
      </w:r>
      <w:r w:rsidR="00DC28DC" w:rsidRPr="002F422F">
        <w:t>létesítmények alap</w:t>
      </w:r>
      <w:r w:rsidR="00182F3C" w:rsidRPr="002F422F">
        <w:t>dí</w:t>
      </w:r>
      <w:r w:rsidR="00DC28DC" w:rsidRPr="002F422F">
        <w:t>ja” sorában foglalt kivétel</w:t>
      </w:r>
      <w:r w:rsidR="00182F3C" w:rsidRPr="002F422F">
        <w:t>l</w:t>
      </w:r>
      <w:r w:rsidR="00DC28DC" w:rsidRPr="002F422F">
        <w:t>el, melyet 2018. január 1-jétől kell alkalmazni</w:t>
      </w:r>
      <w:r w:rsidR="0078697C" w:rsidRPr="002F422F">
        <w:t xml:space="preserve">. </w:t>
      </w:r>
    </w:p>
    <w:p w:rsidR="0078697C" w:rsidRDefault="0078697C" w:rsidP="00F30FF8">
      <w:pPr>
        <w:pStyle w:val="Cm"/>
        <w:tabs>
          <w:tab w:val="left" w:pos="9070"/>
        </w:tabs>
        <w:ind w:right="-2"/>
        <w:jc w:val="both"/>
        <w:rPr>
          <w:rFonts w:ascii="Times New Roman" w:hAnsi="Times New Roman"/>
          <w:szCs w:val="22"/>
        </w:rPr>
      </w:pPr>
      <w:r w:rsidRPr="002F422F">
        <w:rPr>
          <w:rFonts w:ascii="Times New Roman" w:hAnsi="Times New Roman"/>
          <w:b w:val="0"/>
          <w:szCs w:val="22"/>
        </w:rPr>
        <w:t>(2)</w:t>
      </w:r>
      <w:r w:rsidRPr="002F422F">
        <w:rPr>
          <w:rFonts w:ascii="Times New Roman" w:hAnsi="Times New Roman"/>
          <w:szCs w:val="22"/>
        </w:rPr>
        <w:t xml:space="preserve"> </w:t>
      </w:r>
      <w:r w:rsidRPr="002F422F">
        <w:rPr>
          <w:rFonts w:ascii="Times New Roman" w:hAnsi="Times New Roman"/>
          <w:b w:val="0"/>
          <w:bCs/>
          <w:szCs w:val="22"/>
        </w:rPr>
        <w:t xml:space="preserve">Jelen rendelet </w:t>
      </w:r>
      <w:r w:rsidRPr="002F422F">
        <w:rPr>
          <w:rFonts w:ascii="Times New Roman" w:hAnsi="Times New Roman"/>
          <w:b w:val="0"/>
          <w:szCs w:val="22"/>
        </w:rPr>
        <w:t xml:space="preserve">a </w:t>
      </w:r>
      <w:r w:rsidRPr="002F422F">
        <w:rPr>
          <w:rFonts w:ascii="Times New Roman" w:hAnsi="Times New Roman"/>
          <w:b w:val="0"/>
          <w:color w:val="000000"/>
          <w:szCs w:val="22"/>
        </w:rPr>
        <w:t xml:space="preserve">jogalkotásról szóló 2010. évi CXXX. törvény 13.§ (2) bekezdése értelmében </w:t>
      </w:r>
      <w:r w:rsidRPr="002F422F">
        <w:rPr>
          <w:rFonts w:ascii="Times New Roman" w:hAnsi="Times New Roman"/>
          <w:b w:val="0"/>
          <w:szCs w:val="22"/>
        </w:rPr>
        <w:t>a kihirdetését követő napon hatályát veszti</w:t>
      </w:r>
      <w:r w:rsidRPr="002F422F">
        <w:rPr>
          <w:rFonts w:ascii="Times New Roman" w:hAnsi="Times New Roman"/>
          <w:szCs w:val="22"/>
        </w:rPr>
        <w:t>.</w:t>
      </w:r>
    </w:p>
    <w:p w:rsidR="002F422F" w:rsidRDefault="002F422F" w:rsidP="00F30FF8">
      <w:pPr>
        <w:pStyle w:val="Cm"/>
        <w:tabs>
          <w:tab w:val="left" w:pos="9070"/>
        </w:tabs>
        <w:ind w:right="-2"/>
        <w:jc w:val="both"/>
        <w:rPr>
          <w:rFonts w:ascii="Times New Roman" w:hAnsi="Times New Roman"/>
          <w:szCs w:val="22"/>
        </w:rPr>
      </w:pPr>
    </w:p>
    <w:p w:rsidR="002F422F" w:rsidRPr="007C44FF" w:rsidRDefault="002F422F" w:rsidP="002F422F">
      <w:pPr>
        <w:jc w:val="both"/>
      </w:pPr>
      <w:r w:rsidRPr="007D6962">
        <w:t>Mohács, 2017. szeptember 29</w:t>
      </w:r>
      <w:r w:rsidRPr="007C44FF">
        <w:t>.</w:t>
      </w:r>
    </w:p>
    <w:p w:rsidR="002F422F" w:rsidRPr="007C44FF" w:rsidRDefault="002F422F" w:rsidP="002F422F">
      <w:pPr>
        <w:jc w:val="both"/>
      </w:pPr>
    </w:p>
    <w:p w:rsidR="002F422F" w:rsidRPr="007C44FF" w:rsidRDefault="002F422F" w:rsidP="002F422F">
      <w:pPr>
        <w:jc w:val="both"/>
      </w:pPr>
    </w:p>
    <w:p w:rsidR="002F422F" w:rsidRPr="007C44FF" w:rsidRDefault="002F422F" w:rsidP="002F422F">
      <w:pPr>
        <w:jc w:val="both"/>
      </w:pPr>
    </w:p>
    <w:p w:rsidR="002F422F" w:rsidRPr="007C44FF" w:rsidRDefault="002F422F" w:rsidP="002F422F">
      <w:pPr>
        <w:jc w:val="both"/>
      </w:pPr>
    </w:p>
    <w:p w:rsidR="002F422F" w:rsidRPr="007C44FF" w:rsidRDefault="002F422F" w:rsidP="002F422F">
      <w:pPr>
        <w:jc w:val="both"/>
      </w:pPr>
      <w:proofErr w:type="spellStart"/>
      <w:r w:rsidRPr="007C44FF">
        <w:t>Szekó</w:t>
      </w:r>
      <w:proofErr w:type="spellEnd"/>
      <w:r w:rsidRPr="007C44FF">
        <w:t xml:space="preserve"> József</w:t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  <w:t xml:space="preserve">Dr. </w:t>
      </w:r>
      <w:proofErr w:type="spellStart"/>
      <w:r w:rsidRPr="007C44FF">
        <w:t>Dókity</w:t>
      </w:r>
      <w:proofErr w:type="spellEnd"/>
      <w:r w:rsidRPr="007C44FF">
        <w:t xml:space="preserve"> Erzsébet</w:t>
      </w:r>
    </w:p>
    <w:p w:rsidR="002F422F" w:rsidRPr="007C44FF" w:rsidRDefault="002F422F" w:rsidP="002F422F">
      <w:pPr>
        <w:jc w:val="both"/>
      </w:pPr>
      <w:proofErr w:type="gramStart"/>
      <w:r w:rsidRPr="007C44FF">
        <w:t>polgármester</w:t>
      </w:r>
      <w:proofErr w:type="gramEnd"/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  <w:t xml:space="preserve">          aljegyző</w:t>
      </w:r>
    </w:p>
    <w:p w:rsidR="002F422F" w:rsidRPr="007C44FF" w:rsidRDefault="002F422F" w:rsidP="002F422F">
      <w:pPr>
        <w:jc w:val="both"/>
      </w:pPr>
    </w:p>
    <w:p w:rsidR="002F422F" w:rsidRPr="007C44FF" w:rsidRDefault="002F422F" w:rsidP="002F422F">
      <w:pPr>
        <w:jc w:val="both"/>
      </w:pPr>
    </w:p>
    <w:p w:rsidR="002F422F" w:rsidRPr="007C44FF" w:rsidRDefault="002F422F" w:rsidP="002F422F">
      <w:pPr>
        <w:jc w:val="both"/>
      </w:pPr>
      <w:r w:rsidRPr="007C44FF">
        <w:t>A rendelet Mohács város közigazgatási területén kihirdetésre került.</w:t>
      </w:r>
    </w:p>
    <w:p w:rsidR="002F422F" w:rsidRPr="007C44FF" w:rsidRDefault="002F422F" w:rsidP="002F422F">
      <w:pPr>
        <w:jc w:val="both"/>
      </w:pPr>
    </w:p>
    <w:p w:rsidR="002F422F" w:rsidRPr="007C44FF" w:rsidRDefault="002F422F" w:rsidP="002F422F">
      <w:pPr>
        <w:jc w:val="both"/>
      </w:pPr>
      <w:r w:rsidRPr="007C44FF">
        <w:t xml:space="preserve">Mohács, 2017. </w:t>
      </w:r>
      <w:r w:rsidRPr="007D6962">
        <w:t>szeptember 29</w:t>
      </w:r>
      <w:r w:rsidRPr="007C44FF">
        <w:t>.</w:t>
      </w:r>
    </w:p>
    <w:p w:rsidR="002F422F" w:rsidRPr="007C44FF" w:rsidRDefault="002F422F" w:rsidP="002F422F">
      <w:pPr>
        <w:jc w:val="both"/>
      </w:pPr>
    </w:p>
    <w:p w:rsidR="002F422F" w:rsidRPr="007C44FF" w:rsidRDefault="002F422F" w:rsidP="002F422F">
      <w:pPr>
        <w:jc w:val="both"/>
      </w:pPr>
    </w:p>
    <w:p w:rsidR="002F422F" w:rsidRPr="007C44FF" w:rsidRDefault="002F422F" w:rsidP="002F422F">
      <w:pPr>
        <w:jc w:val="both"/>
      </w:pPr>
    </w:p>
    <w:p w:rsidR="002F422F" w:rsidRPr="007C44FF" w:rsidRDefault="002F422F" w:rsidP="002F422F">
      <w:pPr>
        <w:jc w:val="both"/>
      </w:pPr>
    </w:p>
    <w:p w:rsidR="002F422F" w:rsidRPr="007C44FF" w:rsidRDefault="002F422F" w:rsidP="002F422F">
      <w:pPr>
        <w:jc w:val="both"/>
      </w:pP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  <w:t xml:space="preserve"> Dr. </w:t>
      </w:r>
      <w:proofErr w:type="spellStart"/>
      <w:r w:rsidRPr="007C44FF">
        <w:t>Dókity</w:t>
      </w:r>
      <w:proofErr w:type="spellEnd"/>
      <w:r w:rsidRPr="007C44FF">
        <w:t xml:space="preserve"> Erzsébet</w:t>
      </w:r>
    </w:p>
    <w:p w:rsidR="002F422F" w:rsidRPr="007C44FF" w:rsidRDefault="002F422F" w:rsidP="002F422F">
      <w:pPr>
        <w:jc w:val="both"/>
      </w:pP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</w:r>
      <w:r w:rsidRPr="007C44FF">
        <w:tab/>
        <w:t xml:space="preserve">           </w:t>
      </w:r>
      <w:proofErr w:type="gramStart"/>
      <w:r w:rsidRPr="007C44FF">
        <w:t>aljegyző</w:t>
      </w:r>
      <w:proofErr w:type="gramEnd"/>
    </w:p>
    <w:p w:rsidR="002F422F" w:rsidRPr="002F422F" w:rsidRDefault="002F422F" w:rsidP="00F30FF8">
      <w:pPr>
        <w:pStyle w:val="Cm"/>
        <w:tabs>
          <w:tab w:val="left" w:pos="9070"/>
        </w:tabs>
        <w:ind w:right="-2"/>
        <w:jc w:val="both"/>
        <w:rPr>
          <w:rFonts w:ascii="Times New Roman" w:hAnsi="Times New Roman"/>
          <w:b w:val="0"/>
          <w:bCs/>
          <w:szCs w:val="22"/>
        </w:rPr>
      </w:pPr>
    </w:p>
    <w:p w:rsidR="0078697C" w:rsidRPr="002F422F" w:rsidRDefault="0078697C" w:rsidP="0078697C">
      <w:pPr>
        <w:jc w:val="both"/>
        <w:rPr>
          <w:rFonts w:eastAsia="Times New Roman"/>
          <w:lang w:eastAsia="hu-HU"/>
        </w:rPr>
      </w:pPr>
    </w:p>
    <w:p w:rsidR="0078697C" w:rsidRPr="002F422F" w:rsidRDefault="0078697C" w:rsidP="0078697C">
      <w:pPr>
        <w:jc w:val="both"/>
        <w:rPr>
          <w:rFonts w:eastAsia="Times New Roman"/>
          <w:lang w:eastAsia="hu-HU"/>
        </w:rPr>
      </w:pPr>
    </w:p>
    <w:p w:rsidR="0078697C" w:rsidRPr="002F422F" w:rsidRDefault="0078697C" w:rsidP="0078697C">
      <w:pPr>
        <w:jc w:val="both"/>
        <w:rPr>
          <w:rFonts w:eastAsia="Times New Roman"/>
          <w:lang w:eastAsia="hu-HU"/>
        </w:rPr>
      </w:pPr>
    </w:p>
    <w:p w:rsidR="0078697C" w:rsidRPr="002F422F" w:rsidRDefault="0078697C" w:rsidP="0078697C">
      <w:pPr>
        <w:jc w:val="both"/>
        <w:rPr>
          <w:rFonts w:eastAsia="Times New Roman"/>
          <w:lang w:eastAsia="hu-HU"/>
        </w:rPr>
      </w:pPr>
    </w:p>
    <w:p w:rsidR="0078697C" w:rsidRPr="002F422F" w:rsidRDefault="0078697C" w:rsidP="0078697C">
      <w:pPr>
        <w:jc w:val="both"/>
        <w:rPr>
          <w:rFonts w:eastAsia="Times New Roman"/>
          <w:lang w:eastAsia="hu-HU"/>
        </w:rPr>
      </w:pPr>
    </w:p>
    <w:p w:rsidR="0078697C" w:rsidRPr="002F422F" w:rsidRDefault="0078697C" w:rsidP="0078697C">
      <w:pPr>
        <w:jc w:val="both"/>
        <w:rPr>
          <w:rFonts w:eastAsia="Times New Roman"/>
          <w:lang w:eastAsia="hu-HU"/>
        </w:rPr>
      </w:pPr>
    </w:p>
    <w:p w:rsidR="0078697C" w:rsidRPr="002F422F" w:rsidRDefault="0078697C" w:rsidP="0078697C">
      <w:pPr>
        <w:jc w:val="both"/>
        <w:rPr>
          <w:rFonts w:eastAsia="Times New Roman"/>
          <w:lang w:eastAsia="hu-HU"/>
        </w:rPr>
      </w:pPr>
    </w:p>
    <w:p w:rsidR="0078697C" w:rsidRPr="002F422F" w:rsidRDefault="0078697C" w:rsidP="0078697C">
      <w:pPr>
        <w:jc w:val="both"/>
        <w:rPr>
          <w:rFonts w:eastAsia="Times New Roman"/>
          <w:lang w:eastAsia="hu-HU"/>
        </w:rPr>
      </w:pPr>
    </w:p>
    <w:p w:rsidR="0078697C" w:rsidRPr="002F422F" w:rsidRDefault="0078697C" w:rsidP="0078697C">
      <w:pPr>
        <w:jc w:val="both"/>
        <w:rPr>
          <w:rFonts w:eastAsia="Times New Roman"/>
          <w:lang w:eastAsia="hu-HU"/>
        </w:rPr>
      </w:pPr>
    </w:p>
    <w:p w:rsidR="0078697C" w:rsidRPr="002F422F" w:rsidRDefault="0078697C" w:rsidP="0078697C">
      <w:pPr>
        <w:jc w:val="both"/>
        <w:rPr>
          <w:rFonts w:eastAsia="Times New Roman"/>
          <w:lang w:eastAsia="hu-HU"/>
        </w:rPr>
      </w:pPr>
    </w:p>
    <w:p w:rsidR="0078697C" w:rsidRPr="002F422F" w:rsidRDefault="0078697C" w:rsidP="0078697C">
      <w:pPr>
        <w:keepNext/>
        <w:outlineLvl w:val="1"/>
        <w:rPr>
          <w:rFonts w:eastAsia="Times New Roman"/>
          <w:lang w:eastAsia="hu-HU"/>
        </w:rPr>
      </w:pPr>
    </w:p>
    <w:p w:rsidR="0078697C" w:rsidRPr="002F422F" w:rsidRDefault="0078697C" w:rsidP="0078697C">
      <w:pPr>
        <w:rPr>
          <w:rFonts w:eastAsia="Times New Roman"/>
          <w:lang w:eastAsia="hu-HU"/>
        </w:rPr>
      </w:pPr>
    </w:p>
    <w:p w:rsidR="0078697C" w:rsidRPr="002F422F" w:rsidRDefault="0078697C" w:rsidP="0078697C">
      <w:pPr>
        <w:keepNext/>
        <w:outlineLvl w:val="1"/>
        <w:rPr>
          <w:rFonts w:eastAsia="Times New Roman"/>
          <w:lang w:eastAsia="hu-HU"/>
        </w:rPr>
      </w:pPr>
    </w:p>
    <w:p w:rsidR="0078697C" w:rsidRPr="002F422F" w:rsidRDefault="0078697C" w:rsidP="0078697C">
      <w:pPr>
        <w:rPr>
          <w:rFonts w:eastAsia="Times New Roman"/>
          <w:lang w:eastAsia="hu-HU"/>
        </w:rPr>
      </w:pPr>
    </w:p>
    <w:sectPr w:rsidR="0078697C" w:rsidRPr="002F422F" w:rsidSect="002F422F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321"/>
    <w:multiLevelType w:val="hybridMultilevel"/>
    <w:tmpl w:val="672463C6"/>
    <w:lvl w:ilvl="0" w:tplc="9692E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594E"/>
    <w:multiLevelType w:val="hybridMultilevel"/>
    <w:tmpl w:val="2CE81F72"/>
    <w:lvl w:ilvl="0" w:tplc="AE6CF17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513D"/>
    <w:multiLevelType w:val="hybridMultilevel"/>
    <w:tmpl w:val="503A13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7F27"/>
    <w:multiLevelType w:val="hybridMultilevel"/>
    <w:tmpl w:val="D8F2693E"/>
    <w:lvl w:ilvl="0" w:tplc="C3A2A8F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53326C53"/>
    <w:multiLevelType w:val="hybridMultilevel"/>
    <w:tmpl w:val="D5722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A34DA"/>
    <w:multiLevelType w:val="hybridMultilevel"/>
    <w:tmpl w:val="E1C6EA7E"/>
    <w:lvl w:ilvl="0" w:tplc="08865838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7C"/>
    <w:rsid w:val="00060725"/>
    <w:rsid w:val="000B17E6"/>
    <w:rsid w:val="000E3A8C"/>
    <w:rsid w:val="00123F1F"/>
    <w:rsid w:val="00182F3C"/>
    <w:rsid w:val="001D0D85"/>
    <w:rsid w:val="00224BE8"/>
    <w:rsid w:val="00226AD9"/>
    <w:rsid w:val="002568DB"/>
    <w:rsid w:val="002D6344"/>
    <w:rsid w:val="002F422F"/>
    <w:rsid w:val="003217D2"/>
    <w:rsid w:val="003604C6"/>
    <w:rsid w:val="003F7FD3"/>
    <w:rsid w:val="00415C62"/>
    <w:rsid w:val="00417838"/>
    <w:rsid w:val="00486941"/>
    <w:rsid w:val="00497BBB"/>
    <w:rsid w:val="005647BD"/>
    <w:rsid w:val="00697FB0"/>
    <w:rsid w:val="006B2A04"/>
    <w:rsid w:val="006F4F57"/>
    <w:rsid w:val="007110BF"/>
    <w:rsid w:val="0078697C"/>
    <w:rsid w:val="007C285D"/>
    <w:rsid w:val="008F567D"/>
    <w:rsid w:val="00914C45"/>
    <w:rsid w:val="009B613E"/>
    <w:rsid w:val="009F5CCA"/>
    <w:rsid w:val="009F6984"/>
    <w:rsid w:val="00A80B6D"/>
    <w:rsid w:val="00AB7190"/>
    <w:rsid w:val="00AD186F"/>
    <w:rsid w:val="00B35A9C"/>
    <w:rsid w:val="00B52C07"/>
    <w:rsid w:val="00B93F27"/>
    <w:rsid w:val="00BF3645"/>
    <w:rsid w:val="00C437FE"/>
    <w:rsid w:val="00D00188"/>
    <w:rsid w:val="00D17190"/>
    <w:rsid w:val="00DC28DC"/>
    <w:rsid w:val="00E21B4B"/>
    <w:rsid w:val="00E53896"/>
    <w:rsid w:val="00E56524"/>
    <w:rsid w:val="00F02F6D"/>
    <w:rsid w:val="00F1696D"/>
    <w:rsid w:val="00F30FF8"/>
    <w:rsid w:val="00F80833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8697C"/>
    <w:pPr>
      <w:keepNext/>
      <w:outlineLvl w:val="0"/>
    </w:pPr>
    <w:rPr>
      <w:rFonts w:ascii="CG Times" w:eastAsia="Times New Roman" w:hAnsi="CG Times"/>
      <w:b/>
      <w:bCs/>
      <w:kern w:val="36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8697C"/>
    <w:pPr>
      <w:keepNext/>
      <w:jc w:val="center"/>
      <w:outlineLvl w:val="1"/>
    </w:pPr>
    <w:rPr>
      <w:rFonts w:ascii="CG Times" w:eastAsia="Times New Roman" w:hAnsi="CG Times"/>
      <w:b/>
      <w:bCs/>
      <w:lang w:eastAsia="hu-HU"/>
    </w:rPr>
  </w:style>
  <w:style w:type="paragraph" w:styleId="Cmsor3">
    <w:name w:val="heading 3"/>
    <w:basedOn w:val="Norml"/>
    <w:link w:val="Cmsor3Char"/>
    <w:uiPriority w:val="9"/>
    <w:qFormat/>
    <w:rsid w:val="0078697C"/>
    <w:pPr>
      <w:keepNext/>
      <w:jc w:val="center"/>
      <w:outlineLvl w:val="2"/>
    </w:pPr>
    <w:rPr>
      <w:rFonts w:ascii="CG Times" w:eastAsia="Times New Roman" w:hAnsi="CG Times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697C"/>
    <w:rPr>
      <w:rFonts w:ascii="CG Times" w:eastAsia="Times New Roman" w:hAnsi="CG Times"/>
      <w:b/>
      <w:bCs/>
      <w:kern w:val="3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697C"/>
    <w:rPr>
      <w:rFonts w:ascii="CG Times" w:eastAsia="Times New Roman" w:hAnsi="CG Times"/>
      <w:b/>
      <w:bCs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697C"/>
    <w:rPr>
      <w:rFonts w:ascii="CG Times" w:eastAsia="Times New Roman" w:hAnsi="CG Times"/>
      <w:b/>
      <w:bCs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8697C"/>
    <w:pPr>
      <w:jc w:val="both"/>
    </w:pPr>
    <w:rPr>
      <w:rFonts w:ascii="CG Times" w:eastAsia="Times New Roman" w:hAnsi="CG Times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8697C"/>
    <w:rPr>
      <w:rFonts w:ascii="CG Times" w:eastAsia="Times New Roman" w:hAnsi="CG Times"/>
      <w:lang w:eastAsia="hu-HU"/>
    </w:rPr>
  </w:style>
  <w:style w:type="paragraph" w:styleId="Cm">
    <w:name w:val="Title"/>
    <w:basedOn w:val="Norml"/>
    <w:link w:val="CmChar"/>
    <w:qFormat/>
    <w:rsid w:val="0078697C"/>
    <w:pPr>
      <w:ind w:right="850"/>
      <w:jc w:val="center"/>
    </w:pPr>
    <w:rPr>
      <w:rFonts w:ascii="cg times ce" w:eastAsia="Times New Roman" w:hAnsi="cg times ce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8697C"/>
    <w:rPr>
      <w:rFonts w:ascii="cg times ce" w:eastAsia="Times New Roman" w:hAnsi="cg times ce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110BF"/>
    <w:pPr>
      <w:ind w:left="720"/>
      <w:contextualSpacing/>
    </w:pPr>
  </w:style>
  <w:style w:type="table" w:styleId="Rcsostblzat">
    <w:name w:val="Table Grid"/>
    <w:basedOn w:val="Normltblzat"/>
    <w:uiPriority w:val="59"/>
    <w:rsid w:val="007110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">
    <w:name w:val="Emphasis"/>
    <w:basedOn w:val="Bekezdsalapbettpusa"/>
    <w:uiPriority w:val="20"/>
    <w:qFormat/>
    <w:rsid w:val="003217D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F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8697C"/>
    <w:pPr>
      <w:keepNext/>
      <w:outlineLvl w:val="0"/>
    </w:pPr>
    <w:rPr>
      <w:rFonts w:ascii="CG Times" w:eastAsia="Times New Roman" w:hAnsi="CG Times"/>
      <w:b/>
      <w:bCs/>
      <w:kern w:val="36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8697C"/>
    <w:pPr>
      <w:keepNext/>
      <w:jc w:val="center"/>
      <w:outlineLvl w:val="1"/>
    </w:pPr>
    <w:rPr>
      <w:rFonts w:ascii="CG Times" w:eastAsia="Times New Roman" w:hAnsi="CG Times"/>
      <w:b/>
      <w:bCs/>
      <w:lang w:eastAsia="hu-HU"/>
    </w:rPr>
  </w:style>
  <w:style w:type="paragraph" w:styleId="Cmsor3">
    <w:name w:val="heading 3"/>
    <w:basedOn w:val="Norml"/>
    <w:link w:val="Cmsor3Char"/>
    <w:uiPriority w:val="9"/>
    <w:qFormat/>
    <w:rsid w:val="0078697C"/>
    <w:pPr>
      <w:keepNext/>
      <w:jc w:val="center"/>
      <w:outlineLvl w:val="2"/>
    </w:pPr>
    <w:rPr>
      <w:rFonts w:ascii="CG Times" w:eastAsia="Times New Roman" w:hAnsi="CG Times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697C"/>
    <w:rPr>
      <w:rFonts w:ascii="CG Times" w:eastAsia="Times New Roman" w:hAnsi="CG Times"/>
      <w:b/>
      <w:bCs/>
      <w:kern w:val="3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697C"/>
    <w:rPr>
      <w:rFonts w:ascii="CG Times" w:eastAsia="Times New Roman" w:hAnsi="CG Times"/>
      <w:b/>
      <w:bCs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697C"/>
    <w:rPr>
      <w:rFonts w:ascii="CG Times" w:eastAsia="Times New Roman" w:hAnsi="CG Times"/>
      <w:b/>
      <w:bCs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8697C"/>
    <w:pPr>
      <w:jc w:val="both"/>
    </w:pPr>
    <w:rPr>
      <w:rFonts w:ascii="CG Times" w:eastAsia="Times New Roman" w:hAnsi="CG Times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8697C"/>
    <w:rPr>
      <w:rFonts w:ascii="CG Times" w:eastAsia="Times New Roman" w:hAnsi="CG Times"/>
      <w:lang w:eastAsia="hu-HU"/>
    </w:rPr>
  </w:style>
  <w:style w:type="paragraph" w:styleId="Cm">
    <w:name w:val="Title"/>
    <w:basedOn w:val="Norml"/>
    <w:link w:val="CmChar"/>
    <w:qFormat/>
    <w:rsid w:val="0078697C"/>
    <w:pPr>
      <w:ind w:right="850"/>
      <w:jc w:val="center"/>
    </w:pPr>
    <w:rPr>
      <w:rFonts w:ascii="cg times ce" w:eastAsia="Times New Roman" w:hAnsi="cg times ce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8697C"/>
    <w:rPr>
      <w:rFonts w:ascii="cg times ce" w:eastAsia="Times New Roman" w:hAnsi="cg times ce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110BF"/>
    <w:pPr>
      <w:ind w:left="720"/>
      <w:contextualSpacing/>
    </w:pPr>
  </w:style>
  <w:style w:type="table" w:styleId="Rcsostblzat">
    <w:name w:val="Table Grid"/>
    <w:basedOn w:val="Normltblzat"/>
    <w:uiPriority w:val="59"/>
    <w:rsid w:val="007110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">
    <w:name w:val="Emphasis"/>
    <w:basedOn w:val="Bekezdsalapbettpusa"/>
    <w:uiPriority w:val="20"/>
    <w:qFormat/>
    <w:rsid w:val="003217D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F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1174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kovacs_mirella</dc:creator>
  <cp:lastModifiedBy>birone_emerencia</cp:lastModifiedBy>
  <cp:revision>6</cp:revision>
  <cp:lastPrinted>2017-09-29T09:02:00Z</cp:lastPrinted>
  <dcterms:created xsi:type="dcterms:W3CDTF">2017-09-26T07:36:00Z</dcterms:created>
  <dcterms:modified xsi:type="dcterms:W3CDTF">2017-10-03T06:48:00Z</dcterms:modified>
</cp:coreProperties>
</file>