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2C9" w:rsidRPr="000802EE" w:rsidRDefault="00D312C9" w:rsidP="000802EE">
      <w:pPr>
        <w:jc w:val="center"/>
        <w:rPr>
          <w:b/>
          <w:sz w:val="22"/>
          <w:szCs w:val="22"/>
        </w:rPr>
      </w:pPr>
      <w:r w:rsidRPr="000802EE">
        <w:rPr>
          <w:b/>
          <w:sz w:val="22"/>
          <w:szCs w:val="22"/>
        </w:rPr>
        <w:t>Mohács Város Képviselő-testülete hatáskörében eljáró Mohács Város Polgármestere</w:t>
      </w:r>
    </w:p>
    <w:p w:rsidR="00D312C9" w:rsidRPr="000802EE" w:rsidRDefault="000802EE" w:rsidP="000802EE">
      <w:pPr>
        <w:jc w:val="center"/>
        <w:rPr>
          <w:b/>
          <w:sz w:val="22"/>
          <w:szCs w:val="22"/>
        </w:rPr>
      </w:pPr>
      <w:r w:rsidRPr="000802EE">
        <w:rPr>
          <w:b/>
          <w:sz w:val="22"/>
          <w:szCs w:val="22"/>
        </w:rPr>
        <w:t>15/2020.</w:t>
      </w:r>
      <w:r w:rsidR="00D312C9" w:rsidRPr="000802EE">
        <w:rPr>
          <w:b/>
          <w:sz w:val="22"/>
          <w:szCs w:val="22"/>
        </w:rPr>
        <w:t>(</w:t>
      </w:r>
      <w:r w:rsidRPr="000802EE">
        <w:rPr>
          <w:b/>
          <w:sz w:val="22"/>
          <w:szCs w:val="22"/>
        </w:rPr>
        <w:t>V.18.</w:t>
      </w:r>
      <w:r w:rsidR="00D312C9" w:rsidRPr="000802EE">
        <w:rPr>
          <w:b/>
          <w:sz w:val="22"/>
          <w:szCs w:val="22"/>
        </w:rPr>
        <w:t>) önkormányzati</w:t>
      </w:r>
    </w:p>
    <w:p w:rsidR="00FA7CAD" w:rsidRPr="000802EE" w:rsidRDefault="00D312C9" w:rsidP="000802EE">
      <w:pPr>
        <w:jc w:val="center"/>
        <w:rPr>
          <w:b/>
          <w:sz w:val="22"/>
          <w:szCs w:val="22"/>
        </w:rPr>
      </w:pPr>
      <w:r w:rsidRPr="000802EE">
        <w:rPr>
          <w:b/>
          <w:sz w:val="22"/>
          <w:szCs w:val="22"/>
        </w:rPr>
        <w:t>r</w:t>
      </w:r>
      <w:r w:rsidR="00FA7CAD" w:rsidRPr="000802EE">
        <w:rPr>
          <w:b/>
          <w:sz w:val="22"/>
          <w:szCs w:val="22"/>
        </w:rPr>
        <w:t xml:space="preserve"> e n d e l e t e</w:t>
      </w:r>
    </w:p>
    <w:p w:rsidR="00FA7CAD" w:rsidRPr="000802EE" w:rsidRDefault="00FA7CAD" w:rsidP="000802EE">
      <w:pPr>
        <w:jc w:val="center"/>
        <w:rPr>
          <w:b/>
          <w:sz w:val="22"/>
          <w:szCs w:val="22"/>
        </w:rPr>
      </w:pPr>
      <w:proofErr w:type="gramStart"/>
      <w:r w:rsidRPr="000802EE">
        <w:rPr>
          <w:b/>
          <w:sz w:val="22"/>
          <w:szCs w:val="22"/>
        </w:rPr>
        <w:t>a</w:t>
      </w:r>
      <w:proofErr w:type="gramEnd"/>
      <w:r w:rsidRPr="000802EE">
        <w:rPr>
          <w:b/>
          <w:sz w:val="22"/>
          <w:szCs w:val="22"/>
        </w:rPr>
        <w:t xml:space="preserve"> </w:t>
      </w:r>
      <w:r w:rsidR="00762420" w:rsidRPr="000802EE">
        <w:rPr>
          <w:b/>
          <w:sz w:val="22"/>
          <w:szCs w:val="22"/>
        </w:rPr>
        <w:t>201</w:t>
      </w:r>
      <w:r w:rsidR="00086934" w:rsidRPr="000802EE">
        <w:rPr>
          <w:b/>
          <w:sz w:val="22"/>
          <w:szCs w:val="22"/>
        </w:rPr>
        <w:t>9</w:t>
      </w:r>
      <w:r w:rsidRPr="000802EE">
        <w:rPr>
          <w:b/>
          <w:sz w:val="22"/>
          <w:szCs w:val="22"/>
        </w:rPr>
        <w:t>. évi zárszámadásról</w:t>
      </w:r>
    </w:p>
    <w:p w:rsidR="00FA7CAD" w:rsidRPr="000802EE" w:rsidRDefault="00FA7CAD" w:rsidP="000802EE">
      <w:pPr>
        <w:jc w:val="center"/>
        <w:rPr>
          <w:b/>
          <w:sz w:val="22"/>
          <w:szCs w:val="22"/>
        </w:rPr>
      </w:pPr>
    </w:p>
    <w:p w:rsidR="00FA7CAD" w:rsidRPr="000802EE" w:rsidRDefault="00D312C9" w:rsidP="000802EE">
      <w:pPr>
        <w:jc w:val="both"/>
        <w:rPr>
          <w:sz w:val="22"/>
          <w:szCs w:val="22"/>
        </w:rPr>
      </w:pPr>
      <w:r w:rsidRPr="000802EE">
        <w:rPr>
          <w:sz w:val="22"/>
          <w:szCs w:val="22"/>
        </w:rPr>
        <w:t>Mohács Város Polgármestere a katasztrófavédelemről és a hozzá kapcsolódó egyes törvények módosításáról szóló 2011. évi CXXVIII. törvény 46.§ (4) bekezdése alapján Mohács Város Képviselő-testületének feladat-és hatáskörében eljárva az á</w:t>
      </w:r>
      <w:r w:rsidR="00FA7CAD" w:rsidRPr="000802EE">
        <w:rPr>
          <w:sz w:val="22"/>
          <w:szCs w:val="22"/>
        </w:rPr>
        <w:t xml:space="preserve">llamháztartásról szóló 2011. évi CXCV. törvényben kapott felhatalmazás alapján a </w:t>
      </w:r>
      <w:r w:rsidR="00762420" w:rsidRPr="000802EE">
        <w:rPr>
          <w:sz w:val="22"/>
          <w:szCs w:val="22"/>
        </w:rPr>
        <w:t>201</w:t>
      </w:r>
      <w:r w:rsidR="002C39A7" w:rsidRPr="000802EE">
        <w:rPr>
          <w:sz w:val="22"/>
          <w:szCs w:val="22"/>
        </w:rPr>
        <w:t>9</w:t>
      </w:r>
      <w:r w:rsidR="00FA7CAD" w:rsidRPr="000802EE">
        <w:rPr>
          <w:sz w:val="22"/>
          <w:szCs w:val="22"/>
        </w:rPr>
        <w:t>. évi önkormányzati költségvetés végrehajtásáról a következő zárszámadási rendeletet alkotja:</w:t>
      </w:r>
    </w:p>
    <w:p w:rsidR="00FA7CAD" w:rsidRPr="000802EE" w:rsidRDefault="00FA7CAD" w:rsidP="000802EE">
      <w:pPr>
        <w:jc w:val="both"/>
        <w:rPr>
          <w:sz w:val="22"/>
          <w:szCs w:val="22"/>
        </w:rPr>
      </w:pPr>
    </w:p>
    <w:p w:rsidR="00FA7CAD" w:rsidRPr="000802EE" w:rsidRDefault="00FA7CAD" w:rsidP="000802EE">
      <w:pPr>
        <w:jc w:val="both"/>
        <w:rPr>
          <w:sz w:val="22"/>
          <w:szCs w:val="22"/>
        </w:rPr>
      </w:pPr>
      <w:r w:rsidRPr="000802EE">
        <w:rPr>
          <w:b/>
          <w:sz w:val="22"/>
          <w:szCs w:val="22"/>
        </w:rPr>
        <w:t xml:space="preserve">1.§ (1) </w:t>
      </w:r>
      <w:r w:rsidRPr="000802EE">
        <w:rPr>
          <w:sz w:val="22"/>
          <w:szCs w:val="22"/>
        </w:rPr>
        <w:t xml:space="preserve">A Képviselő-testület a </w:t>
      </w:r>
      <w:r w:rsidR="00762420" w:rsidRPr="000802EE">
        <w:rPr>
          <w:sz w:val="22"/>
          <w:szCs w:val="22"/>
        </w:rPr>
        <w:t>201</w:t>
      </w:r>
      <w:r w:rsidR="002C39A7" w:rsidRPr="000802EE">
        <w:rPr>
          <w:sz w:val="22"/>
          <w:szCs w:val="22"/>
        </w:rPr>
        <w:t>9</w:t>
      </w:r>
      <w:r w:rsidRPr="000802EE">
        <w:rPr>
          <w:sz w:val="22"/>
          <w:szCs w:val="22"/>
        </w:rPr>
        <w:t xml:space="preserve">. évi önkormányzati költségvetés végrehajtását </w:t>
      </w:r>
      <w:r w:rsidR="003008DC" w:rsidRPr="000802EE">
        <w:rPr>
          <w:sz w:val="22"/>
          <w:szCs w:val="22"/>
        </w:rPr>
        <w:t>1</w:t>
      </w:r>
      <w:r w:rsidR="003B1E7F" w:rsidRPr="000802EE">
        <w:rPr>
          <w:sz w:val="22"/>
          <w:szCs w:val="22"/>
        </w:rPr>
        <w:t>2.110.751</w:t>
      </w:r>
      <w:r w:rsidRPr="000802EE">
        <w:rPr>
          <w:sz w:val="22"/>
          <w:szCs w:val="22"/>
        </w:rPr>
        <w:t xml:space="preserve"> </w:t>
      </w:r>
      <w:proofErr w:type="spellStart"/>
      <w:r w:rsidRPr="000802EE">
        <w:rPr>
          <w:sz w:val="22"/>
          <w:szCs w:val="22"/>
        </w:rPr>
        <w:t>eFt</w:t>
      </w:r>
      <w:proofErr w:type="spellEnd"/>
      <w:r w:rsidRPr="000802EE">
        <w:rPr>
          <w:sz w:val="22"/>
          <w:szCs w:val="22"/>
        </w:rPr>
        <w:t xml:space="preserve"> bevételi főösszeggel, </w:t>
      </w:r>
      <w:r w:rsidR="003B1E7F" w:rsidRPr="000802EE">
        <w:rPr>
          <w:sz w:val="22"/>
          <w:szCs w:val="22"/>
        </w:rPr>
        <w:t>8.333.509</w:t>
      </w:r>
      <w:r w:rsidRPr="000802EE">
        <w:rPr>
          <w:sz w:val="22"/>
          <w:szCs w:val="22"/>
        </w:rPr>
        <w:t xml:space="preserve"> </w:t>
      </w:r>
      <w:proofErr w:type="spellStart"/>
      <w:r w:rsidRPr="000802EE">
        <w:rPr>
          <w:sz w:val="22"/>
          <w:szCs w:val="22"/>
        </w:rPr>
        <w:t>eFt</w:t>
      </w:r>
      <w:proofErr w:type="spellEnd"/>
      <w:r w:rsidRPr="000802EE">
        <w:rPr>
          <w:sz w:val="22"/>
          <w:szCs w:val="22"/>
        </w:rPr>
        <w:t xml:space="preserve"> kiadási főösszeggel, ezen belül </w:t>
      </w:r>
      <w:r w:rsidR="003B1E7F" w:rsidRPr="000802EE">
        <w:rPr>
          <w:sz w:val="22"/>
          <w:szCs w:val="22"/>
        </w:rPr>
        <w:t>902.274</w:t>
      </w:r>
      <w:r w:rsidRPr="000802EE">
        <w:rPr>
          <w:sz w:val="22"/>
          <w:szCs w:val="22"/>
        </w:rPr>
        <w:t xml:space="preserve"> </w:t>
      </w:r>
      <w:proofErr w:type="spellStart"/>
      <w:r w:rsidRPr="000802EE">
        <w:rPr>
          <w:sz w:val="22"/>
          <w:szCs w:val="22"/>
        </w:rPr>
        <w:t>eFt</w:t>
      </w:r>
      <w:proofErr w:type="spellEnd"/>
      <w:r w:rsidRPr="000802EE">
        <w:rPr>
          <w:sz w:val="22"/>
          <w:szCs w:val="22"/>
        </w:rPr>
        <w:t xml:space="preserve"> személyi jellegű kiadással, </w:t>
      </w:r>
      <w:r w:rsidR="003008DC" w:rsidRPr="000802EE">
        <w:rPr>
          <w:sz w:val="22"/>
          <w:szCs w:val="22"/>
        </w:rPr>
        <w:t>1</w:t>
      </w:r>
      <w:r w:rsidR="00C361F9" w:rsidRPr="000802EE">
        <w:rPr>
          <w:sz w:val="22"/>
          <w:szCs w:val="22"/>
        </w:rPr>
        <w:t>5</w:t>
      </w:r>
      <w:r w:rsidR="003B1E7F" w:rsidRPr="000802EE">
        <w:rPr>
          <w:sz w:val="22"/>
          <w:szCs w:val="22"/>
        </w:rPr>
        <w:t>5.150</w:t>
      </w:r>
      <w:r w:rsidR="00C361F9" w:rsidRPr="000802EE">
        <w:rPr>
          <w:sz w:val="22"/>
          <w:szCs w:val="22"/>
        </w:rPr>
        <w:t xml:space="preserve"> </w:t>
      </w:r>
      <w:proofErr w:type="spellStart"/>
      <w:r w:rsidRPr="000802EE">
        <w:rPr>
          <w:sz w:val="22"/>
          <w:szCs w:val="22"/>
        </w:rPr>
        <w:t>eFt</w:t>
      </w:r>
      <w:proofErr w:type="spellEnd"/>
      <w:r w:rsidRPr="000802EE">
        <w:rPr>
          <w:sz w:val="22"/>
          <w:szCs w:val="22"/>
        </w:rPr>
        <w:t xml:space="preserve"> munkaadókat terhelő járulékkal, </w:t>
      </w:r>
      <w:r w:rsidR="003B1E7F" w:rsidRPr="000802EE">
        <w:rPr>
          <w:sz w:val="22"/>
          <w:szCs w:val="22"/>
        </w:rPr>
        <w:t xml:space="preserve">1.543.127 </w:t>
      </w:r>
      <w:proofErr w:type="spellStart"/>
      <w:r w:rsidRPr="000802EE">
        <w:rPr>
          <w:sz w:val="22"/>
          <w:szCs w:val="22"/>
        </w:rPr>
        <w:t>eFt</w:t>
      </w:r>
      <w:proofErr w:type="spellEnd"/>
      <w:r w:rsidRPr="000802EE">
        <w:rPr>
          <w:sz w:val="22"/>
          <w:szCs w:val="22"/>
        </w:rPr>
        <w:t xml:space="preserve"> dologi kiadással, </w:t>
      </w:r>
      <w:r w:rsidR="003B1E7F" w:rsidRPr="000802EE">
        <w:rPr>
          <w:sz w:val="22"/>
          <w:szCs w:val="22"/>
        </w:rPr>
        <w:t>3.116.944</w:t>
      </w:r>
      <w:r w:rsidRPr="000802EE">
        <w:rPr>
          <w:sz w:val="22"/>
          <w:szCs w:val="22"/>
        </w:rPr>
        <w:t xml:space="preserve"> </w:t>
      </w:r>
      <w:proofErr w:type="spellStart"/>
      <w:r w:rsidRPr="000802EE">
        <w:rPr>
          <w:sz w:val="22"/>
          <w:szCs w:val="22"/>
        </w:rPr>
        <w:t>eFt</w:t>
      </w:r>
      <w:proofErr w:type="spellEnd"/>
      <w:r w:rsidRPr="000802EE">
        <w:rPr>
          <w:sz w:val="22"/>
          <w:szCs w:val="22"/>
        </w:rPr>
        <w:t xml:space="preserve"> felújítási és felhalmozási kiadással jóváhagyja.</w:t>
      </w:r>
    </w:p>
    <w:p w:rsidR="00FA7CAD" w:rsidRPr="000802EE" w:rsidRDefault="00FA7CAD" w:rsidP="000802EE">
      <w:pPr>
        <w:jc w:val="both"/>
        <w:rPr>
          <w:b/>
          <w:sz w:val="22"/>
          <w:szCs w:val="22"/>
        </w:rPr>
      </w:pPr>
      <w:r w:rsidRPr="000802EE">
        <w:rPr>
          <w:b/>
          <w:sz w:val="22"/>
          <w:szCs w:val="22"/>
        </w:rPr>
        <w:t xml:space="preserve">(2) </w:t>
      </w:r>
      <w:r w:rsidRPr="000802EE">
        <w:rPr>
          <w:bCs/>
          <w:sz w:val="22"/>
          <w:szCs w:val="22"/>
        </w:rPr>
        <w:t xml:space="preserve">A </w:t>
      </w:r>
      <w:r w:rsidR="00762420" w:rsidRPr="000802EE">
        <w:rPr>
          <w:bCs/>
          <w:sz w:val="22"/>
          <w:szCs w:val="22"/>
        </w:rPr>
        <w:t>201</w:t>
      </w:r>
      <w:r w:rsidR="003B1E7F" w:rsidRPr="000802EE">
        <w:rPr>
          <w:bCs/>
          <w:sz w:val="22"/>
          <w:szCs w:val="22"/>
        </w:rPr>
        <w:t>9</w:t>
      </w:r>
      <w:r w:rsidRPr="000802EE">
        <w:rPr>
          <w:bCs/>
          <w:sz w:val="22"/>
          <w:szCs w:val="22"/>
        </w:rPr>
        <w:t>. évi záró létszámadatokat az 1. melléklet tartalmazza.</w:t>
      </w:r>
      <w:r w:rsidRPr="000802EE">
        <w:rPr>
          <w:b/>
          <w:sz w:val="22"/>
          <w:szCs w:val="22"/>
        </w:rPr>
        <w:t xml:space="preserve"> </w:t>
      </w:r>
    </w:p>
    <w:p w:rsidR="00FA7CAD" w:rsidRPr="000802EE" w:rsidRDefault="00FA7CAD" w:rsidP="000802EE">
      <w:pPr>
        <w:jc w:val="both"/>
        <w:rPr>
          <w:sz w:val="22"/>
          <w:szCs w:val="22"/>
        </w:rPr>
      </w:pPr>
      <w:r w:rsidRPr="000802EE">
        <w:rPr>
          <w:b/>
          <w:sz w:val="22"/>
          <w:szCs w:val="22"/>
        </w:rPr>
        <w:t xml:space="preserve">(3) </w:t>
      </w:r>
      <w:r w:rsidRPr="000802EE">
        <w:rPr>
          <w:bCs/>
          <w:sz w:val="22"/>
          <w:szCs w:val="22"/>
        </w:rPr>
        <w:t xml:space="preserve">Államháztartáson belüli működési támogatások </w:t>
      </w:r>
      <w:r w:rsidRPr="000802EE">
        <w:rPr>
          <w:sz w:val="22"/>
          <w:szCs w:val="22"/>
        </w:rPr>
        <w:t>igénybevételét a 2. melléklet tartalmazza.</w:t>
      </w:r>
    </w:p>
    <w:p w:rsidR="00FA7CAD" w:rsidRPr="000802EE" w:rsidRDefault="00FA7CAD" w:rsidP="000802EE">
      <w:pPr>
        <w:pStyle w:val="Szvegtrzs"/>
        <w:rPr>
          <w:szCs w:val="22"/>
        </w:rPr>
      </w:pPr>
      <w:r w:rsidRPr="000802EE">
        <w:rPr>
          <w:b/>
          <w:szCs w:val="22"/>
        </w:rPr>
        <w:t xml:space="preserve">(4) </w:t>
      </w:r>
      <w:r w:rsidRPr="000802EE">
        <w:rPr>
          <w:szCs w:val="22"/>
        </w:rPr>
        <w:t xml:space="preserve">A </w:t>
      </w:r>
      <w:r w:rsidR="00762420" w:rsidRPr="000802EE">
        <w:rPr>
          <w:szCs w:val="22"/>
        </w:rPr>
        <w:t>201</w:t>
      </w:r>
      <w:r w:rsidR="003B1E7F" w:rsidRPr="000802EE">
        <w:rPr>
          <w:szCs w:val="22"/>
        </w:rPr>
        <w:t>9</w:t>
      </w:r>
      <w:r w:rsidRPr="000802EE">
        <w:rPr>
          <w:szCs w:val="22"/>
        </w:rPr>
        <w:t xml:space="preserve">. évi költségvetési mérleget a 3. melléklet tartalmazza. </w:t>
      </w:r>
    </w:p>
    <w:p w:rsidR="00FA7CAD" w:rsidRPr="000802EE" w:rsidRDefault="00FA7CAD" w:rsidP="000802EE">
      <w:pPr>
        <w:jc w:val="both"/>
        <w:rPr>
          <w:b/>
          <w:sz w:val="22"/>
          <w:szCs w:val="22"/>
        </w:rPr>
      </w:pPr>
      <w:r w:rsidRPr="000802EE">
        <w:rPr>
          <w:b/>
          <w:sz w:val="22"/>
          <w:szCs w:val="22"/>
        </w:rPr>
        <w:t xml:space="preserve">(5) </w:t>
      </w:r>
      <w:r w:rsidRPr="000802EE">
        <w:rPr>
          <w:sz w:val="22"/>
          <w:szCs w:val="22"/>
        </w:rPr>
        <w:t xml:space="preserve">A </w:t>
      </w:r>
      <w:proofErr w:type="gramStart"/>
      <w:r w:rsidRPr="000802EE">
        <w:rPr>
          <w:sz w:val="22"/>
          <w:szCs w:val="22"/>
        </w:rPr>
        <w:t>város fejlesztési</w:t>
      </w:r>
      <w:proofErr w:type="gramEnd"/>
      <w:r w:rsidRPr="000802EE">
        <w:rPr>
          <w:sz w:val="22"/>
          <w:szCs w:val="22"/>
        </w:rPr>
        <w:t xml:space="preserve"> mérlegét a 4. melléklet tartalmazza.</w:t>
      </w:r>
      <w:r w:rsidRPr="000802EE">
        <w:rPr>
          <w:b/>
          <w:sz w:val="22"/>
          <w:szCs w:val="22"/>
        </w:rPr>
        <w:t xml:space="preserve"> </w:t>
      </w:r>
    </w:p>
    <w:p w:rsidR="00FA7CAD" w:rsidRPr="000802EE" w:rsidRDefault="00FA7CAD" w:rsidP="000802EE">
      <w:pPr>
        <w:jc w:val="both"/>
        <w:rPr>
          <w:sz w:val="22"/>
          <w:szCs w:val="22"/>
        </w:rPr>
      </w:pPr>
      <w:r w:rsidRPr="000802EE">
        <w:rPr>
          <w:b/>
          <w:sz w:val="22"/>
          <w:szCs w:val="22"/>
        </w:rPr>
        <w:t xml:space="preserve">(6) </w:t>
      </w:r>
      <w:r w:rsidRPr="000802EE">
        <w:rPr>
          <w:sz w:val="22"/>
          <w:szCs w:val="22"/>
        </w:rPr>
        <w:t>A város működési mérlegét az 5. melléklet tartalmazza</w:t>
      </w:r>
    </w:p>
    <w:p w:rsidR="00FA7CAD" w:rsidRPr="000802EE" w:rsidRDefault="00FA7CAD" w:rsidP="000802EE">
      <w:pPr>
        <w:jc w:val="both"/>
        <w:rPr>
          <w:sz w:val="22"/>
          <w:szCs w:val="22"/>
        </w:rPr>
      </w:pPr>
      <w:r w:rsidRPr="000802EE">
        <w:rPr>
          <w:b/>
          <w:sz w:val="22"/>
          <w:szCs w:val="22"/>
        </w:rPr>
        <w:t xml:space="preserve">(7) </w:t>
      </w:r>
      <w:r w:rsidRPr="000802EE">
        <w:rPr>
          <w:sz w:val="22"/>
          <w:szCs w:val="22"/>
        </w:rPr>
        <w:t>Az önkormányzat felújítási és felhalmozási előirányzatainak teljesítését a 9</w:t>
      </w:r>
      <w:proofErr w:type="gramStart"/>
      <w:r w:rsidRPr="000802EE">
        <w:rPr>
          <w:sz w:val="22"/>
          <w:szCs w:val="22"/>
        </w:rPr>
        <w:t>.,</w:t>
      </w:r>
      <w:proofErr w:type="gramEnd"/>
      <w:r w:rsidRPr="000802EE">
        <w:rPr>
          <w:sz w:val="22"/>
          <w:szCs w:val="22"/>
        </w:rPr>
        <w:t xml:space="preserve"> az </w:t>
      </w:r>
      <w:proofErr w:type="spellStart"/>
      <w:r w:rsidRPr="000802EE">
        <w:rPr>
          <w:sz w:val="22"/>
          <w:szCs w:val="22"/>
        </w:rPr>
        <w:t>Eu-s</w:t>
      </w:r>
      <w:proofErr w:type="spellEnd"/>
      <w:r w:rsidRPr="000802EE">
        <w:rPr>
          <w:sz w:val="22"/>
          <w:szCs w:val="22"/>
        </w:rPr>
        <w:t xml:space="preserve"> forrásból megvalósuló fejlesztések teljesülését a 9/b., a lakásalap </w:t>
      </w:r>
      <w:r w:rsidR="00762420" w:rsidRPr="000802EE">
        <w:rPr>
          <w:sz w:val="22"/>
          <w:szCs w:val="22"/>
        </w:rPr>
        <w:t>201</w:t>
      </w:r>
      <w:r w:rsidR="002C39A7" w:rsidRPr="000802EE">
        <w:rPr>
          <w:sz w:val="22"/>
          <w:szCs w:val="22"/>
        </w:rPr>
        <w:t>9</w:t>
      </w:r>
      <w:r w:rsidRPr="000802EE">
        <w:rPr>
          <w:sz w:val="22"/>
          <w:szCs w:val="22"/>
        </w:rPr>
        <w:t>. évi alakulását az 12. melléklet a környezetvédelmi alap teljesítését a 11. melléklet tartalmazza.</w:t>
      </w:r>
    </w:p>
    <w:p w:rsidR="00FA7CAD" w:rsidRPr="000802EE" w:rsidRDefault="00FA7CAD" w:rsidP="000802EE">
      <w:pPr>
        <w:jc w:val="both"/>
        <w:rPr>
          <w:sz w:val="22"/>
          <w:szCs w:val="22"/>
        </w:rPr>
      </w:pPr>
    </w:p>
    <w:p w:rsidR="00FA7CAD" w:rsidRPr="000802EE" w:rsidRDefault="00FA7CAD" w:rsidP="000802EE">
      <w:pPr>
        <w:jc w:val="both"/>
        <w:rPr>
          <w:sz w:val="22"/>
          <w:szCs w:val="22"/>
        </w:rPr>
      </w:pPr>
      <w:r w:rsidRPr="000802EE">
        <w:rPr>
          <w:b/>
          <w:sz w:val="22"/>
          <w:szCs w:val="22"/>
        </w:rPr>
        <w:t xml:space="preserve">2.§ (1) </w:t>
      </w:r>
      <w:r w:rsidRPr="000802EE">
        <w:rPr>
          <w:sz w:val="22"/>
          <w:szCs w:val="22"/>
        </w:rPr>
        <w:t>A Mohácsi Polgármesteri Hivatal, az önállóan működő és az önállóan működő és gazdálkodó intézmények bevételi és kiadási előirányzatainak teljesítését a 6-8. melléklet tartalmazza.</w:t>
      </w:r>
    </w:p>
    <w:p w:rsidR="00FA7CAD" w:rsidRPr="000802EE" w:rsidRDefault="00FA7CAD" w:rsidP="000802EE">
      <w:pPr>
        <w:jc w:val="both"/>
        <w:rPr>
          <w:sz w:val="22"/>
          <w:szCs w:val="22"/>
        </w:rPr>
      </w:pPr>
      <w:r w:rsidRPr="000802EE">
        <w:rPr>
          <w:b/>
          <w:sz w:val="22"/>
          <w:szCs w:val="22"/>
        </w:rPr>
        <w:t xml:space="preserve">(2) </w:t>
      </w:r>
      <w:r w:rsidRPr="000802EE">
        <w:rPr>
          <w:sz w:val="22"/>
          <w:szCs w:val="22"/>
        </w:rPr>
        <w:t xml:space="preserve">Az Önkormányzat </w:t>
      </w:r>
      <w:r w:rsidR="00762420" w:rsidRPr="000802EE">
        <w:rPr>
          <w:sz w:val="22"/>
          <w:szCs w:val="22"/>
        </w:rPr>
        <w:t>201</w:t>
      </w:r>
      <w:r w:rsidR="002C39A7" w:rsidRPr="000802EE">
        <w:rPr>
          <w:sz w:val="22"/>
          <w:szCs w:val="22"/>
        </w:rPr>
        <w:t>9</w:t>
      </w:r>
      <w:r w:rsidRPr="000802EE">
        <w:rPr>
          <w:sz w:val="22"/>
          <w:szCs w:val="22"/>
        </w:rPr>
        <w:t xml:space="preserve">. évi maradványa </w:t>
      </w:r>
      <w:r w:rsidR="003B1E7F" w:rsidRPr="000802EE">
        <w:rPr>
          <w:sz w:val="22"/>
          <w:szCs w:val="22"/>
        </w:rPr>
        <w:t>3.777.242</w:t>
      </w:r>
      <w:r w:rsidRPr="000802EE">
        <w:rPr>
          <w:sz w:val="22"/>
          <w:szCs w:val="22"/>
        </w:rPr>
        <w:t xml:space="preserve"> </w:t>
      </w:r>
      <w:proofErr w:type="spellStart"/>
      <w:r w:rsidRPr="000802EE">
        <w:rPr>
          <w:sz w:val="22"/>
          <w:szCs w:val="22"/>
        </w:rPr>
        <w:t>eFt</w:t>
      </w:r>
      <w:proofErr w:type="spellEnd"/>
      <w:r w:rsidRPr="000802EE">
        <w:rPr>
          <w:sz w:val="22"/>
          <w:szCs w:val="22"/>
        </w:rPr>
        <w:t xml:space="preserve">. Az önállóan működő és az önállóan működő és gazdálkodó intézmények maradványát az intézmények beszámolótáblái tartalmazzák. </w:t>
      </w:r>
    </w:p>
    <w:p w:rsidR="00FA7CAD" w:rsidRPr="000802EE" w:rsidRDefault="00FA7CAD" w:rsidP="000802EE">
      <w:pPr>
        <w:jc w:val="both"/>
        <w:rPr>
          <w:sz w:val="22"/>
          <w:szCs w:val="22"/>
        </w:rPr>
      </w:pPr>
      <w:r w:rsidRPr="000802EE">
        <w:rPr>
          <w:b/>
          <w:sz w:val="22"/>
          <w:szCs w:val="22"/>
        </w:rPr>
        <w:t xml:space="preserve">(3) </w:t>
      </w:r>
      <w:r w:rsidRPr="000802EE">
        <w:rPr>
          <w:bCs/>
          <w:sz w:val="22"/>
          <w:szCs w:val="22"/>
        </w:rPr>
        <w:t>Az Önállóan működő és gazdálkodó intézmények maradványa feladattal terhelt, így az</w:t>
      </w:r>
      <w:r w:rsidRPr="000802EE">
        <w:rPr>
          <w:sz w:val="22"/>
          <w:szCs w:val="22"/>
        </w:rPr>
        <w:t xml:space="preserve"> Egészségügyi Alapellátó Szervezet, és a Mohácsi Polgármesteri Hivatal, Közétkeztetési Ellátó Szervezet és a Kanizsai Dorottya Múzeum, Könyvtár </w:t>
      </w:r>
      <w:r w:rsidR="00531DAC" w:rsidRPr="000802EE">
        <w:rPr>
          <w:sz w:val="22"/>
          <w:szCs w:val="22"/>
        </w:rPr>
        <w:t>m</w:t>
      </w:r>
      <w:r w:rsidRPr="000802EE">
        <w:rPr>
          <w:sz w:val="22"/>
          <w:szCs w:val="22"/>
        </w:rPr>
        <w:t>aradványa az intézmény</w:t>
      </w:r>
      <w:r w:rsidR="00531DAC" w:rsidRPr="000802EE">
        <w:rPr>
          <w:sz w:val="22"/>
          <w:szCs w:val="22"/>
        </w:rPr>
        <w:t>ek</w:t>
      </w:r>
      <w:r w:rsidRPr="000802EE">
        <w:rPr>
          <w:sz w:val="22"/>
          <w:szCs w:val="22"/>
        </w:rPr>
        <w:t>nél marad.</w:t>
      </w:r>
    </w:p>
    <w:p w:rsidR="00FA7CAD" w:rsidRPr="000802EE" w:rsidRDefault="00FA7CAD" w:rsidP="000802EE">
      <w:pPr>
        <w:jc w:val="both"/>
        <w:rPr>
          <w:sz w:val="22"/>
          <w:szCs w:val="22"/>
        </w:rPr>
      </w:pPr>
    </w:p>
    <w:p w:rsidR="00FA7CAD" w:rsidRPr="000802EE" w:rsidRDefault="00FA7CAD" w:rsidP="000802EE">
      <w:pPr>
        <w:jc w:val="both"/>
        <w:rPr>
          <w:sz w:val="22"/>
          <w:szCs w:val="22"/>
        </w:rPr>
      </w:pPr>
      <w:r w:rsidRPr="000802EE">
        <w:rPr>
          <w:b/>
          <w:sz w:val="22"/>
          <w:szCs w:val="22"/>
        </w:rPr>
        <w:t xml:space="preserve">3.§ </w:t>
      </w:r>
      <w:r w:rsidRPr="000802EE">
        <w:rPr>
          <w:sz w:val="22"/>
          <w:szCs w:val="22"/>
        </w:rPr>
        <w:t xml:space="preserve">Az Önkormányzat céljelleggel juttatott </w:t>
      </w:r>
      <w:r w:rsidR="00762420" w:rsidRPr="000802EE">
        <w:rPr>
          <w:sz w:val="22"/>
          <w:szCs w:val="22"/>
        </w:rPr>
        <w:t>201</w:t>
      </w:r>
      <w:r w:rsidR="002C39A7" w:rsidRPr="000802EE">
        <w:rPr>
          <w:sz w:val="22"/>
          <w:szCs w:val="22"/>
        </w:rPr>
        <w:t>9</w:t>
      </w:r>
      <w:r w:rsidRPr="000802EE">
        <w:rPr>
          <w:sz w:val="22"/>
          <w:szCs w:val="22"/>
        </w:rPr>
        <w:t>. évi támogatásait a 13. melléklet tartalmazza.</w:t>
      </w:r>
    </w:p>
    <w:p w:rsidR="00FA7CAD" w:rsidRPr="000802EE" w:rsidRDefault="00FA7CAD" w:rsidP="000802EE">
      <w:pPr>
        <w:jc w:val="both"/>
        <w:rPr>
          <w:sz w:val="22"/>
          <w:szCs w:val="22"/>
        </w:rPr>
      </w:pPr>
    </w:p>
    <w:p w:rsidR="00FA7CAD" w:rsidRPr="000802EE" w:rsidRDefault="00FA7CAD" w:rsidP="000802EE">
      <w:pPr>
        <w:jc w:val="both"/>
        <w:rPr>
          <w:sz w:val="22"/>
          <w:szCs w:val="22"/>
        </w:rPr>
      </w:pPr>
      <w:r w:rsidRPr="000802EE">
        <w:rPr>
          <w:b/>
          <w:bCs/>
          <w:sz w:val="22"/>
          <w:szCs w:val="22"/>
        </w:rPr>
        <w:t>4.§</w:t>
      </w:r>
      <w:r w:rsidRPr="000802EE">
        <w:rPr>
          <w:sz w:val="22"/>
          <w:szCs w:val="22"/>
        </w:rPr>
        <w:t xml:space="preserve"> Az Önkormányzat hitelállományát és több éves kihatással bíró döntéseit a 14. melléklet tartalmazza.</w:t>
      </w:r>
    </w:p>
    <w:p w:rsidR="00FA7CAD" w:rsidRPr="000802EE" w:rsidRDefault="00FA7CAD" w:rsidP="000802EE">
      <w:pPr>
        <w:jc w:val="both"/>
        <w:rPr>
          <w:sz w:val="22"/>
          <w:szCs w:val="22"/>
        </w:rPr>
      </w:pPr>
    </w:p>
    <w:p w:rsidR="00FA7CAD" w:rsidRPr="000802EE" w:rsidRDefault="00FA7CAD" w:rsidP="000802EE">
      <w:pPr>
        <w:jc w:val="both"/>
        <w:rPr>
          <w:sz w:val="22"/>
          <w:szCs w:val="22"/>
        </w:rPr>
      </w:pPr>
      <w:r w:rsidRPr="000802EE">
        <w:rPr>
          <w:b/>
          <w:bCs/>
          <w:sz w:val="22"/>
          <w:szCs w:val="22"/>
        </w:rPr>
        <w:t>5.§</w:t>
      </w:r>
      <w:r w:rsidRPr="000802EE">
        <w:rPr>
          <w:sz w:val="22"/>
          <w:szCs w:val="22"/>
        </w:rPr>
        <w:t xml:space="preserve"> Az Önkormányzat közvetett támogatásainak kimutatását a 15. melléklet tartalmazza.</w:t>
      </w:r>
    </w:p>
    <w:p w:rsidR="00FA7CAD" w:rsidRPr="000802EE" w:rsidRDefault="00FA7CAD" w:rsidP="000802EE">
      <w:pPr>
        <w:jc w:val="both"/>
        <w:rPr>
          <w:sz w:val="22"/>
          <w:szCs w:val="22"/>
        </w:rPr>
      </w:pPr>
    </w:p>
    <w:p w:rsidR="00FA7CAD" w:rsidRPr="000802EE" w:rsidRDefault="00FA7CAD" w:rsidP="000802EE">
      <w:pPr>
        <w:jc w:val="both"/>
        <w:rPr>
          <w:sz w:val="22"/>
          <w:szCs w:val="22"/>
        </w:rPr>
      </w:pPr>
      <w:r w:rsidRPr="000802EE">
        <w:rPr>
          <w:b/>
          <w:sz w:val="22"/>
          <w:szCs w:val="22"/>
        </w:rPr>
        <w:t xml:space="preserve">6.§ </w:t>
      </w:r>
      <w:r w:rsidRPr="000802EE">
        <w:rPr>
          <w:sz w:val="22"/>
          <w:szCs w:val="22"/>
        </w:rPr>
        <w:t xml:space="preserve">Az önkormányzat </w:t>
      </w:r>
      <w:r w:rsidR="006F49F5" w:rsidRPr="000802EE">
        <w:rPr>
          <w:sz w:val="22"/>
          <w:szCs w:val="22"/>
        </w:rPr>
        <w:t>2019</w:t>
      </w:r>
      <w:r w:rsidRPr="000802EE">
        <w:rPr>
          <w:sz w:val="22"/>
          <w:szCs w:val="22"/>
        </w:rPr>
        <w:t xml:space="preserve">. december 31. napja szerinti </w:t>
      </w:r>
      <w:r w:rsidR="00D55AD0" w:rsidRPr="000802EE">
        <w:rPr>
          <w:sz w:val="22"/>
          <w:szCs w:val="22"/>
        </w:rPr>
        <w:t>37.023.375</w:t>
      </w:r>
      <w:r w:rsidR="003008DC" w:rsidRPr="000802EE">
        <w:rPr>
          <w:sz w:val="22"/>
          <w:szCs w:val="22"/>
        </w:rPr>
        <w:t xml:space="preserve"> </w:t>
      </w:r>
      <w:proofErr w:type="spellStart"/>
      <w:r w:rsidRPr="000802EE">
        <w:rPr>
          <w:sz w:val="22"/>
          <w:szCs w:val="22"/>
        </w:rPr>
        <w:t>eFt</w:t>
      </w:r>
      <w:proofErr w:type="spellEnd"/>
      <w:r w:rsidRPr="000802EE">
        <w:rPr>
          <w:sz w:val="22"/>
          <w:szCs w:val="22"/>
        </w:rPr>
        <w:t xml:space="preserve"> vagyonát – amely az intézményi mérlegek vagyonleltárral alátámasztott összessége – a 10. mellékletek tartalmazzák.</w:t>
      </w:r>
    </w:p>
    <w:p w:rsidR="00FA7CAD" w:rsidRPr="000802EE" w:rsidRDefault="00FA7CAD" w:rsidP="000802EE">
      <w:pPr>
        <w:jc w:val="both"/>
        <w:rPr>
          <w:sz w:val="22"/>
          <w:szCs w:val="22"/>
        </w:rPr>
      </w:pPr>
    </w:p>
    <w:p w:rsidR="00FA7CAD" w:rsidRPr="000802EE" w:rsidRDefault="00FA7CAD" w:rsidP="000802EE">
      <w:pPr>
        <w:jc w:val="both"/>
        <w:rPr>
          <w:sz w:val="22"/>
          <w:szCs w:val="22"/>
        </w:rPr>
      </w:pPr>
      <w:r w:rsidRPr="000802EE">
        <w:rPr>
          <w:b/>
          <w:bCs/>
          <w:sz w:val="22"/>
          <w:szCs w:val="22"/>
        </w:rPr>
        <w:t>7.§</w:t>
      </w:r>
      <w:r w:rsidRPr="000802EE">
        <w:rPr>
          <w:sz w:val="22"/>
          <w:szCs w:val="22"/>
        </w:rPr>
        <w:t xml:space="preserve"> Az önkormányzat </w:t>
      </w:r>
      <w:r w:rsidR="00762420" w:rsidRPr="000802EE">
        <w:rPr>
          <w:sz w:val="22"/>
          <w:szCs w:val="22"/>
        </w:rPr>
        <w:t>201</w:t>
      </w:r>
      <w:r w:rsidR="002C39A7" w:rsidRPr="000802EE">
        <w:rPr>
          <w:sz w:val="22"/>
          <w:szCs w:val="22"/>
        </w:rPr>
        <w:t>9</w:t>
      </w:r>
      <w:r w:rsidRPr="000802EE">
        <w:rPr>
          <w:sz w:val="22"/>
          <w:szCs w:val="22"/>
        </w:rPr>
        <w:t>. évi pénzeszközeinek változását a 16. melléklet tartalmazza.</w:t>
      </w:r>
    </w:p>
    <w:p w:rsidR="00FA7CAD" w:rsidRPr="000802EE" w:rsidRDefault="00FA7CAD" w:rsidP="000802EE">
      <w:pPr>
        <w:jc w:val="both"/>
        <w:rPr>
          <w:sz w:val="22"/>
          <w:szCs w:val="22"/>
        </w:rPr>
      </w:pPr>
    </w:p>
    <w:p w:rsidR="00FA7CAD" w:rsidRPr="000802EE" w:rsidRDefault="00FA7CAD" w:rsidP="000802EE">
      <w:pPr>
        <w:jc w:val="both"/>
        <w:rPr>
          <w:sz w:val="22"/>
          <w:szCs w:val="22"/>
        </w:rPr>
      </w:pPr>
      <w:r w:rsidRPr="000802EE">
        <w:rPr>
          <w:b/>
          <w:bCs/>
          <w:sz w:val="22"/>
          <w:szCs w:val="22"/>
        </w:rPr>
        <w:t>8. §</w:t>
      </w:r>
      <w:r w:rsidRPr="000802EE">
        <w:rPr>
          <w:sz w:val="22"/>
          <w:szCs w:val="22"/>
        </w:rPr>
        <w:t xml:space="preserve"> Az Önkormányzat Áht. 29/</w:t>
      </w:r>
      <w:proofErr w:type="gramStart"/>
      <w:r w:rsidRPr="000802EE">
        <w:rPr>
          <w:sz w:val="22"/>
          <w:szCs w:val="22"/>
        </w:rPr>
        <w:t>A</w:t>
      </w:r>
      <w:proofErr w:type="gramEnd"/>
      <w:r w:rsidRPr="000802EE">
        <w:rPr>
          <w:sz w:val="22"/>
          <w:szCs w:val="22"/>
        </w:rPr>
        <w:t xml:space="preserve"> §-a szerinti tervszámait a 17. melléklet tartalmazza. </w:t>
      </w:r>
    </w:p>
    <w:p w:rsidR="00FA7CAD" w:rsidRPr="000802EE" w:rsidRDefault="00FA7CAD" w:rsidP="000802EE">
      <w:pPr>
        <w:jc w:val="both"/>
        <w:rPr>
          <w:sz w:val="22"/>
          <w:szCs w:val="22"/>
        </w:rPr>
      </w:pPr>
    </w:p>
    <w:p w:rsidR="00FA7CAD" w:rsidRPr="000802EE" w:rsidRDefault="00FA7CAD" w:rsidP="000802EE">
      <w:pPr>
        <w:pStyle w:val="Szvegtrzs"/>
        <w:rPr>
          <w:szCs w:val="22"/>
        </w:rPr>
      </w:pPr>
      <w:r w:rsidRPr="000802EE">
        <w:rPr>
          <w:b/>
          <w:szCs w:val="22"/>
        </w:rPr>
        <w:t xml:space="preserve">9.§ </w:t>
      </w:r>
      <w:r w:rsidRPr="000802EE">
        <w:rPr>
          <w:szCs w:val="22"/>
        </w:rPr>
        <w:t>Ez a</w:t>
      </w:r>
      <w:r w:rsidRPr="000802EE">
        <w:rPr>
          <w:b/>
          <w:szCs w:val="22"/>
        </w:rPr>
        <w:t xml:space="preserve"> </w:t>
      </w:r>
      <w:r w:rsidRPr="000802EE">
        <w:rPr>
          <w:szCs w:val="22"/>
        </w:rPr>
        <w:t xml:space="preserve">rendelet kihirdetése napján lép hatályba. </w:t>
      </w:r>
    </w:p>
    <w:p w:rsidR="000802EE" w:rsidRPr="000802EE" w:rsidRDefault="000802EE" w:rsidP="000802EE">
      <w:pPr>
        <w:jc w:val="both"/>
        <w:rPr>
          <w:sz w:val="22"/>
          <w:szCs w:val="22"/>
        </w:rPr>
      </w:pPr>
    </w:p>
    <w:p w:rsidR="000802EE" w:rsidRPr="000802EE" w:rsidRDefault="000802EE" w:rsidP="000802EE">
      <w:pPr>
        <w:jc w:val="both"/>
        <w:rPr>
          <w:sz w:val="22"/>
          <w:szCs w:val="22"/>
        </w:rPr>
      </w:pPr>
      <w:r w:rsidRPr="000802EE">
        <w:rPr>
          <w:sz w:val="22"/>
          <w:szCs w:val="22"/>
        </w:rPr>
        <w:t xml:space="preserve">Mohács, 2020. május 15.    </w:t>
      </w:r>
    </w:p>
    <w:p w:rsidR="000802EE" w:rsidRPr="000802EE" w:rsidRDefault="000802EE" w:rsidP="000802EE">
      <w:pPr>
        <w:jc w:val="both"/>
        <w:rPr>
          <w:sz w:val="22"/>
          <w:szCs w:val="22"/>
        </w:rPr>
      </w:pPr>
    </w:p>
    <w:p w:rsidR="000802EE" w:rsidRPr="000802EE" w:rsidRDefault="000802EE" w:rsidP="000802EE">
      <w:pPr>
        <w:jc w:val="both"/>
        <w:rPr>
          <w:sz w:val="22"/>
          <w:szCs w:val="22"/>
        </w:rPr>
      </w:pPr>
    </w:p>
    <w:p w:rsidR="000802EE" w:rsidRPr="000802EE" w:rsidRDefault="000802EE" w:rsidP="000802EE">
      <w:pPr>
        <w:pStyle w:val="Szvegtrzsbehzssal2"/>
        <w:spacing w:after="0" w:line="240" w:lineRule="auto"/>
        <w:ind w:left="0"/>
        <w:rPr>
          <w:sz w:val="22"/>
          <w:szCs w:val="22"/>
        </w:rPr>
      </w:pPr>
      <w:r w:rsidRPr="000802EE">
        <w:rPr>
          <w:sz w:val="22"/>
          <w:szCs w:val="22"/>
        </w:rPr>
        <w:t xml:space="preserve">    </w:t>
      </w:r>
      <w:proofErr w:type="spellStart"/>
      <w:r w:rsidRPr="000802EE">
        <w:rPr>
          <w:sz w:val="22"/>
          <w:szCs w:val="22"/>
        </w:rPr>
        <w:t>Csorbai</w:t>
      </w:r>
      <w:proofErr w:type="spellEnd"/>
      <w:r w:rsidRPr="000802EE">
        <w:rPr>
          <w:sz w:val="22"/>
          <w:szCs w:val="22"/>
        </w:rPr>
        <w:t xml:space="preserve"> </w:t>
      </w:r>
      <w:proofErr w:type="gramStart"/>
      <w:r w:rsidRPr="000802EE">
        <w:rPr>
          <w:sz w:val="22"/>
          <w:szCs w:val="22"/>
        </w:rPr>
        <w:t>Ferenc</w:t>
      </w:r>
      <w:r w:rsidRPr="000802EE">
        <w:rPr>
          <w:sz w:val="22"/>
          <w:szCs w:val="22"/>
        </w:rPr>
        <w:tab/>
      </w:r>
      <w:r w:rsidRPr="000802EE">
        <w:rPr>
          <w:sz w:val="22"/>
          <w:szCs w:val="22"/>
        </w:rPr>
        <w:tab/>
      </w:r>
      <w:r w:rsidRPr="000802EE">
        <w:rPr>
          <w:sz w:val="22"/>
          <w:szCs w:val="22"/>
        </w:rPr>
        <w:tab/>
      </w:r>
      <w:r w:rsidRPr="000802EE">
        <w:rPr>
          <w:sz w:val="22"/>
          <w:szCs w:val="22"/>
        </w:rPr>
        <w:tab/>
      </w:r>
      <w:r w:rsidRPr="000802EE">
        <w:rPr>
          <w:sz w:val="22"/>
          <w:szCs w:val="22"/>
        </w:rPr>
        <w:tab/>
        <w:t xml:space="preserve">         </w:t>
      </w:r>
      <w:r w:rsidRPr="000802EE">
        <w:rPr>
          <w:sz w:val="22"/>
          <w:szCs w:val="22"/>
        </w:rPr>
        <w:tab/>
        <w:t xml:space="preserve">               Dr.</w:t>
      </w:r>
      <w:proofErr w:type="gramEnd"/>
      <w:r w:rsidRPr="000802EE">
        <w:rPr>
          <w:sz w:val="22"/>
          <w:szCs w:val="22"/>
        </w:rPr>
        <w:t xml:space="preserve"> Kovács Mirella</w:t>
      </w:r>
    </w:p>
    <w:p w:rsidR="000802EE" w:rsidRPr="000802EE" w:rsidRDefault="000802EE" w:rsidP="000802EE">
      <w:pPr>
        <w:pStyle w:val="Szvegtrzsbehzssal2"/>
        <w:spacing w:after="0" w:line="240" w:lineRule="auto"/>
        <w:ind w:left="0"/>
        <w:rPr>
          <w:sz w:val="22"/>
          <w:szCs w:val="22"/>
        </w:rPr>
      </w:pPr>
      <w:r w:rsidRPr="000802EE">
        <w:rPr>
          <w:sz w:val="22"/>
          <w:szCs w:val="22"/>
        </w:rPr>
        <w:t xml:space="preserve">     </w:t>
      </w:r>
      <w:proofErr w:type="gramStart"/>
      <w:r w:rsidRPr="000802EE">
        <w:rPr>
          <w:sz w:val="22"/>
          <w:szCs w:val="22"/>
        </w:rPr>
        <w:t>polgármester</w:t>
      </w:r>
      <w:proofErr w:type="gramEnd"/>
      <w:r w:rsidRPr="000802EE">
        <w:rPr>
          <w:sz w:val="22"/>
          <w:szCs w:val="22"/>
        </w:rPr>
        <w:tab/>
      </w:r>
      <w:r w:rsidRPr="000802EE">
        <w:rPr>
          <w:sz w:val="22"/>
          <w:szCs w:val="22"/>
        </w:rPr>
        <w:tab/>
      </w:r>
      <w:r w:rsidRPr="000802EE">
        <w:rPr>
          <w:sz w:val="22"/>
          <w:szCs w:val="22"/>
        </w:rPr>
        <w:tab/>
      </w:r>
      <w:r w:rsidRPr="000802EE">
        <w:rPr>
          <w:sz w:val="22"/>
          <w:szCs w:val="22"/>
        </w:rPr>
        <w:tab/>
      </w:r>
      <w:r w:rsidRPr="000802EE">
        <w:rPr>
          <w:sz w:val="22"/>
          <w:szCs w:val="22"/>
        </w:rPr>
        <w:tab/>
      </w:r>
      <w:r w:rsidRPr="000802EE">
        <w:rPr>
          <w:sz w:val="22"/>
          <w:szCs w:val="22"/>
        </w:rPr>
        <w:tab/>
        <w:t xml:space="preserve">                         </w:t>
      </w:r>
      <w:r>
        <w:rPr>
          <w:sz w:val="22"/>
          <w:szCs w:val="22"/>
        </w:rPr>
        <w:t xml:space="preserve"> </w:t>
      </w:r>
      <w:r w:rsidRPr="000802EE">
        <w:rPr>
          <w:sz w:val="22"/>
          <w:szCs w:val="22"/>
        </w:rPr>
        <w:t>jegyző</w:t>
      </w:r>
    </w:p>
    <w:p w:rsidR="000802EE" w:rsidRDefault="000802EE" w:rsidP="000802EE">
      <w:pPr>
        <w:jc w:val="both"/>
        <w:rPr>
          <w:sz w:val="22"/>
          <w:szCs w:val="22"/>
          <w:u w:val="single"/>
        </w:rPr>
      </w:pPr>
    </w:p>
    <w:p w:rsidR="000802EE" w:rsidRPr="000802EE" w:rsidRDefault="000802EE" w:rsidP="000802EE">
      <w:pPr>
        <w:jc w:val="both"/>
        <w:rPr>
          <w:sz w:val="22"/>
          <w:szCs w:val="22"/>
        </w:rPr>
      </w:pPr>
      <w:r w:rsidRPr="000802EE">
        <w:rPr>
          <w:sz w:val="22"/>
          <w:szCs w:val="22"/>
          <w:u w:val="single"/>
        </w:rPr>
        <w:t>Záradék</w:t>
      </w:r>
      <w:r w:rsidRPr="000802EE">
        <w:rPr>
          <w:sz w:val="22"/>
          <w:szCs w:val="22"/>
        </w:rPr>
        <w:t>:</w:t>
      </w:r>
    </w:p>
    <w:p w:rsidR="000802EE" w:rsidRPr="000802EE" w:rsidRDefault="000802EE" w:rsidP="000802EE">
      <w:pPr>
        <w:jc w:val="both"/>
        <w:rPr>
          <w:sz w:val="22"/>
          <w:szCs w:val="22"/>
        </w:rPr>
      </w:pPr>
      <w:r w:rsidRPr="000802EE">
        <w:rPr>
          <w:sz w:val="22"/>
          <w:szCs w:val="22"/>
        </w:rPr>
        <w:t>A rendelet 2020. május 18-án kihirdetésre került.</w:t>
      </w:r>
    </w:p>
    <w:p w:rsidR="000802EE" w:rsidRPr="000802EE" w:rsidRDefault="000802EE" w:rsidP="000802EE">
      <w:pPr>
        <w:jc w:val="both"/>
        <w:rPr>
          <w:sz w:val="22"/>
          <w:szCs w:val="22"/>
        </w:rPr>
      </w:pPr>
    </w:p>
    <w:p w:rsidR="000802EE" w:rsidRPr="000802EE" w:rsidRDefault="000802EE" w:rsidP="000802EE">
      <w:pPr>
        <w:jc w:val="both"/>
        <w:rPr>
          <w:sz w:val="22"/>
          <w:szCs w:val="22"/>
        </w:rPr>
      </w:pPr>
      <w:r w:rsidRPr="000802EE">
        <w:rPr>
          <w:sz w:val="22"/>
          <w:szCs w:val="22"/>
        </w:rPr>
        <w:tab/>
      </w:r>
      <w:r w:rsidRPr="000802EE">
        <w:rPr>
          <w:sz w:val="22"/>
          <w:szCs w:val="22"/>
        </w:rPr>
        <w:tab/>
      </w:r>
      <w:r w:rsidRPr="000802EE">
        <w:rPr>
          <w:sz w:val="22"/>
          <w:szCs w:val="22"/>
        </w:rPr>
        <w:tab/>
      </w:r>
      <w:r w:rsidRPr="000802EE">
        <w:rPr>
          <w:sz w:val="22"/>
          <w:szCs w:val="22"/>
        </w:rPr>
        <w:tab/>
      </w:r>
      <w:r w:rsidRPr="000802EE">
        <w:rPr>
          <w:sz w:val="22"/>
          <w:szCs w:val="22"/>
        </w:rPr>
        <w:tab/>
      </w:r>
      <w:r w:rsidRPr="000802EE">
        <w:rPr>
          <w:sz w:val="22"/>
          <w:szCs w:val="22"/>
        </w:rPr>
        <w:tab/>
      </w:r>
      <w:r w:rsidRPr="000802EE">
        <w:rPr>
          <w:sz w:val="22"/>
          <w:szCs w:val="22"/>
        </w:rPr>
        <w:tab/>
      </w:r>
      <w:r w:rsidRPr="000802EE">
        <w:rPr>
          <w:sz w:val="22"/>
          <w:szCs w:val="22"/>
        </w:rPr>
        <w:tab/>
      </w:r>
      <w:r w:rsidRPr="000802EE">
        <w:rPr>
          <w:sz w:val="22"/>
          <w:szCs w:val="22"/>
        </w:rPr>
        <w:tab/>
        <w:t xml:space="preserve">   Dr. Kovács </w:t>
      </w:r>
      <w:proofErr w:type="gramStart"/>
      <w:r w:rsidRPr="000802EE">
        <w:rPr>
          <w:sz w:val="22"/>
          <w:szCs w:val="22"/>
        </w:rPr>
        <w:t xml:space="preserve">Mirella </w:t>
      </w:r>
      <w:r w:rsidRPr="000802EE">
        <w:rPr>
          <w:sz w:val="22"/>
          <w:szCs w:val="22"/>
        </w:rPr>
        <w:tab/>
      </w:r>
      <w:r w:rsidRPr="000802EE">
        <w:rPr>
          <w:sz w:val="22"/>
          <w:szCs w:val="22"/>
        </w:rPr>
        <w:tab/>
      </w:r>
      <w:r w:rsidRPr="000802EE">
        <w:rPr>
          <w:sz w:val="22"/>
          <w:szCs w:val="22"/>
        </w:rPr>
        <w:tab/>
      </w:r>
      <w:r w:rsidRPr="000802EE">
        <w:rPr>
          <w:sz w:val="22"/>
          <w:szCs w:val="22"/>
        </w:rPr>
        <w:tab/>
      </w:r>
      <w:r w:rsidRPr="000802EE">
        <w:rPr>
          <w:sz w:val="22"/>
          <w:szCs w:val="22"/>
        </w:rPr>
        <w:tab/>
      </w:r>
      <w:r w:rsidRPr="000802EE">
        <w:rPr>
          <w:sz w:val="22"/>
          <w:szCs w:val="22"/>
        </w:rPr>
        <w:tab/>
      </w:r>
      <w:r w:rsidRPr="000802EE">
        <w:rPr>
          <w:sz w:val="22"/>
          <w:szCs w:val="22"/>
        </w:rPr>
        <w:tab/>
      </w:r>
      <w:r w:rsidRPr="000802EE">
        <w:rPr>
          <w:sz w:val="22"/>
          <w:szCs w:val="22"/>
        </w:rPr>
        <w:tab/>
      </w:r>
      <w:r w:rsidRPr="000802EE">
        <w:rPr>
          <w:sz w:val="22"/>
          <w:szCs w:val="22"/>
        </w:rPr>
        <w:tab/>
      </w:r>
      <w:r w:rsidRPr="000802EE">
        <w:rPr>
          <w:sz w:val="22"/>
          <w:szCs w:val="22"/>
        </w:rPr>
        <w:tab/>
        <w:t xml:space="preserve">             jegyző</w:t>
      </w:r>
      <w:proofErr w:type="gramEnd"/>
    </w:p>
    <w:p w:rsidR="000802EE" w:rsidRPr="000802EE" w:rsidRDefault="000802EE" w:rsidP="000802EE">
      <w:pPr>
        <w:ind w:left="-1134"/>
        <w:rPr>
          <w:sz w:val="22"/>
          <w:szCs w:val="22"/>
        </w:rPr>
      </w:pPr>
      <w:bookmarkStart w:id="0" w:name="_GoBack"/>
      <w:bookmarkEnd w:id="0"/>
    </w:p>
    <w:sectPr w:rsidR="000802EE" w:rsidRPr="000802EE" w:rsidSect="000802EE">
      <w:footerReference w:type="even" r:id="rId8"/>
      <w:footerReference w:type="default" r:id="rId9"/>
      <w:pgSz w:w="11906" w:h="16838"/>
      <w:pgMar w:top="709" w:right="1418" w:bottom="567" w:left="567" w:header="0" w:footer="0" w:gutter="113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C7D" w:rsidRDefault="00F32C7D">
      <w:r>
        <w:separator/>
      </w:r>
    </w:p>
  </w:endnote>
  <w:endnote w:type="continuationSeparator" w:id="0">
    <w:p w:rsidR="00F32C7D" w:rsidRDefault="00F3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E25" w:rsidRDefault="000E4E2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E4E25" w:rsidRDefault="000E4E25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E25" w:rsidRDefault="000E4E2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802EE">
      <w:rPr>
        <w:rStyle w:val="Oldalszm"/>
        <w:noProof/>
      </w:rPr>
      <w:t>1</w:t>
    </w:r>
    <w:r>
      <w:rPr>
        <w:rStyle w:val="Oldalszm"/>
      </w:rPr>
      <w:fldChar w:fldCharType="end"/>
    </w:r>
  </w:p>
  <w:p w:rsidR="000E4E25" w:rsidRDefault="000E4E2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C7D" w:rsidRDefault="00F32C7D">
      <w:r>
        <w:separator/>
      </w:r>
    </w:p>
  </w:footnote>
  <w:footnote w:type="continuationSeparator" w:id="0">
    <w:p w:rsidR="00F32C7D" w:rsidRDefault="00F32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08DB"/>
    <w:multiLevelType w:val="hybridMultilevel"/>
    <w:tmpl w:val="8BCEF26A"/>
    <w:lvl w:ilvl="0" w:tplc="F714634A"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361908FB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BA300D7"/>
    <w:multiLevelType w:val="singleLevel"/>
    <w:tmpl w:val="AEF4510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CAB0D54"/>
    <w:multiLevelType w:val="hybridMultilevel"/>
    <w:tmpl w:val="733A1B2C"/>
    <w:lvl w:ilvl="0" w:tplc="91F848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2A7A43"/>
    <w:multiLevelType w:val="hybridMultilevel"/>
    <w:tmpl w:val="65B8C168"/>
    <w:lvl w:ilvl="0" w:tplc="4DEA7802">
      <w:numFmt w:val="bullet"/>
      <w:lvlText w:val="-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8F"/>
    <w:rsid w:val="000250D5"/>
    <w:rsid w:val="00027035"/>
    <w:rsid w:val="000707BD"/>
    <w:rsid w:val="000802EE"/>
    <w:rsid w:val="00086934"/>
    <w:rsid w:val="00093722"/>
    <w:rsid w:val="000976C2"/>
    <w:rsid w:val="000C5438"/>
    <w:rsid w:val="000E4E25"/>
    <w:rsid w:val="000F28B3"/>
    <w:rsid w:val="0015628B"/>
    <w:rsid w:val="001709F3"/>
    <w:rsid w:val="001B2119"/>
    <w:rsid w:val="001C0D1A"/>
    <w:rsid w:val="001C77D3"/>
    <w:rsid w:val="001D7D16"/>
    <w:rsid w:val="00205398"/>
    <w:rsid w:val="002533D8"/>
    <w:rsid w:val="00275D45"/>
    <w:rsid w:val="002B6F84"/>
    <w:rsid w:val="002C39A7"/>
    <w:rsid w:val="002F22C6"/>
    <w:rsid w:val="003008DC"/>
    <w:rsid w:val="003B1E7F"/>
    <w:rsid w:val="003E56DB"/>
    <w:rsid w:val="004072B9"/>
    <w:rsid w:val="004362AD"/>
    <w:rsid w:val="004643BA"/>
    <w:rsid w:val="004D13F3"/>
    <w:rsid w:val="004F1C96"/>
    <w:rsid w:val="004F3090"/>
    <w:rsid w:val="00531DAC"/>
    <w:rsid w:val="00550F57"/>
    <w:rsid w:val="00582BDD"/>
    <w:rsid w:val="005C565B"/>
    <w:rsid w:val="00641C43"/>
    <w:rsid w:val="006424F8"/>
    <w:rsid w:val="00645EF2"/>
    <w:rsid w:val="00651529"/>
    <w:rsid w:val="006A32A1"/>
    <w:rsid w:val="006C7271"/>
    <w:rsid w:val="006F49F5"/>
    <w:rsid w:val="006F5E89"/>
    <w:rsid w:val="00745C5B"/>
    <w:rsid w:val="007517F8"/>
    <w:rsid w:val="00762420"/>
    <w:rsid w:val="00771472"/>
    <w:rsid w:val="007857D6"/>
    <w:rsid w:val="007E20AC"/>
    <w:rsid w:val="008232EF"/>
    <w:rsid w:val="00834E35"/>
    <w:rsid w:val="008910C2"/>
    <w:rsid w:val="008B2CB9"/>
    <w:rsid w:val="008B66A0"/>
    <w:rsid w:val="00947DA7"/>
    <w:rsid w:val="0096738D"/>
    <w:rsid w:val="0099461F"/>
    <w:rsid w:val="009C737C"/>
    <w:rsid w:val="009E0BE8"/>
    <w:rsid w:val="009E6144"/>
    <w:rsid w:val="009F7EAE"/>
    <w:rsid w:val="00A00F2C"/>
    <w:rsid w:val="00A00F6C"/>
    <w:rsid w:val="00A06B45"/>
    <w:rsid w:val="00A07697"/>
    <w:rsid w:val="00A25803"/>
    <w:rsid w:val="00A35CFD"/>
    <w:rsid w:val="00A5540F"/>
    <w:rsid w:val="00A765E7"/>
    <w:rsid w:val="00A82D8A"/>
    <w:rsid w:val="00AC4C8C"/>
    <w:rsid w:val="00AC5862"/>
    <w:rsid w:val="00AD2363"/>
    <w:rsid w:val="00AD34CD"/>
    <w:rsid w:val="00B116FC"/>
    <w:rsid w:val="00B1201A"/>
    <w:rsid w:val="00B54B11"/>
    <w:rsid w:val="00B856E2"/>
    <w:rsid w:val="00B9281A"/>
    <w:rsid w:val="00BF1B8F"/>
    <w:rsid w:val="00C00438"/>
    <w:rsid w:val="00C0621F"/>
    <w:rsid w:val="00C10069"/>
    <w:rsid w:val="00C361F9"/>
    <w:rsid w:val="00CF30AE"/>
    <w:rsid w:val="00D312C9"/>
    <w:rsid w:val="00D55AD0"/>
    <w:rsid w:val="00DA41B3"/>
    <w:rsid w:val="00DB5E2F"/>
    <w:rsid w:val="00DF6554"/>
    <w:rsid w:val="00E44470"/>
    <w:rsid w:val="00E5467F"/>
    <w:rsid w:val="00E579C6"/>
    <w:rsid w:val="00E64E90"/>
    <w:rsid w:val="00E94EF9"/>
    <w:rsid w:val="00ED035B"/>
    <w:rsid w:val="00F32C7D"/>
    <w:rsid w:val="00F752A6"/>
    <w:rsid w:val="00FA7CAD"/>
    <w:rsid w:val="00FB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sz w:val="22"/>
      <w:u w:val="single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rFonts w:ascii="CG Times" w:hAnsi="CG Times"/>
      <w:sz w:val="22"/>
      <w:u w:val="single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rFonts w:ascii="CG Times" w:hAnsi="CG Times"/>
      <w:b/>
      <w:sz w:val="22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rFonts w:ascii="CG Times" w:hAnsi="CG Times"/>
      <w:b/>
      <w:sz w:val="22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b/>
      <w:bCs/>
      <w:sz w:val="22"/>
    </w:rPr>
  </w:style>
  <w:style w:type="paragraph" w:styleId="Cmsor6">
    <w:name w:val="heading 6"/>
    <w:basedOn w:val="Norml"/>
    <w:next w:val="Norml"/>
    <w:qFormat/>
    <w:pPr>
      <w:keepNext/>
      <w:ind w:left="-709"/>
      <w:jc w:val="center"/>
      <w:outlineLvl w:val="5"/>
    </w:pPr>
    <w:rPr>
      <w:b/>
      <w:bCs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  <w:rPr>
      <w:sz w:val="22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behzssal">
    <w:name w:val="Body Text Indent"/>
    <w:basedOn w:val="Norml"/>
    <w:pPr>
      <w:ind w:left="-709"/>
      <w:jc w:val="both"/>
    </w:pPr>
    <w:rPr>
      <w:sz w:val="22"/>
    </w:rPr>
  </w:style>
  <w:style w:type="paragraph" w:styleId="Szvegtrzsbehzssal2">
    <w:name w:val="Body Text Indent 2"/>
    <w:basedOn w:val="Norml"/>
    <w:link w:val="Szvegtrzsbehzssal2Char"/>
    <w:rsid w:val="000802E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80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sz w:val="22"/>
      <w:u w:val="single"/>
    </w:rPr>
  </w:style>
  <w:style w:type="paragraph" w:styleId="Cmsor2">
    <w:name w:val="heading 2"/>
    <w:basedOn w:val="Norml"/>
    <w:next w:val="Norml"/>
    <w:qFormat/>
    <w:pPr>
      <w:keepNext/>
      <w:jc w:val="both"/>
      <w:outlineLvl w:val="1"/>
    </w:pPr>
    <w:rPr>
      <w:rFonts w:ascii="CG Times" w:hAnsi="CG Times"/>
      <w:sz w:val="22"/>
      <w:u w:val="single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rFonts w:ascii="CG Times" w:hAnsi="CG Times"/>
      <w:b/>
      <w:sz w:val="22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rFonts w:ascii="CG Times" w:hAnsi="CG Times"/>
      <w:b/>
      <w:sz w:val="22"/>
    </w:rPr>
  </w:style>
  <w:style w:type="paragraph" w:styleId="Cmsor5">
    <w:name w:val="heading 5"/>
    <w:basedOn w:val="Norml"/>
    <w:next w:val="Norml"/>
    <w:qFormat/>
    <w:pPr>
      <w:keepNext/>
      <w:jc w:val="both"/>
      <w:outlineLvl w:val="4"/>
    </w:pPr>
    <w:rPr>
      <w:b/>
      <w:bCs/>
      <w:sz w:val="22"/>
    </w:rPr>
  </w:style>
  <w:style w:type="paragraph" w:styleId="Cmsor6">
    <w:name w:val="heading 6"/>
    <w:basedOn w:val="Norml"/>
    <w:next w:val="Norml"/>
    <w:qFormat/>
    <w:pPr>
      <w:keepNext/>
      <w:ind w:left="-709"/>
      <w:jc w:val="center"/>
      <w:outlineLvl w:val="5"/>
    </w:pPr>
    <w:rPr>
      <w:b/>
      <w:bCs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  <w:rPr>
      <w:sz w:val="22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behzssal">
    <w:name w:val="Body Text Indent"/>
    <w:basedOn w:val="Norml"/>
    <w:pPr>
      <w:ind w:left="-709"/>
      <w:jc w:val="both"/>
    </w:pPr>
    <w:rPr>
      <w:sz w:val="22"/>
    </w:rPr>
  </w:style>
  <w:style w:type="paragraph" w:styleId="Szvegtrzsbehzssal2">
    <w:name w:val="Body Text Indent 2"/>
    <w:basedOn w:val="Norml"/>
    <w:link w:val="Szvegtrzsbehzssal2Char"/>
    <w:rsid w:val="000802EE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80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Baranya Megyei területi Államháztartási Hivatal</vt:lpstr>
    </vt:vector>
  </TitlesOfParts>
  <Company>Polgármesteri Hivatal Mohács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 Megyei területi Államháztartási Hivatal</dc:title>
  <dc:creator>Bugarszki Norbert</dc:creator>
  <cp:lastModifiedBy>birone_emerencia</cp:lastModifiedBy>
  <cp:revision>3</cp:revision>
  <cp:lastPrinted>2020-04-30T06:39:00Z</cp:lastPrinted>
  <dcterms:created xsi:type="dcterms:W3CDTF">2020-05-15T10:19:00Z</dcterms:created>
  <dcterms:modified xsi:type="dcterms:W3CDTF">2020-05-15T10:28:00Z</dcterms:modified>
</cp:coreProperties>
</file>